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theme="minorBidi"/>
          <w:b/>
          <w:bCs/>
          <w:sz w:val="32"/>
          <w:szCs w:val="32"/>
        </w:rPr>
      </w:pPr>
      <w:r>
        <w:rPr>
          <w:rFonts w:hint="eastAsia" w:ascii="仿宋" w:hAnsi="仿宋" w:eastAsia="仿宋" w:cstheme="minorBidi"/>
          <w:b/>
          <w:bCs/>
          <w:sz w:val="32"/>
          <w:szCs w:val="32"/>
          <w:lang w:eastAsia="zh-CN"/>
        </w:rPr>
        <w:t>中方县住房和城乡建设局</w:t>
      </w:r>
      <w:r>
        <w:rPr>
          <w:rFonts w:hint="eastAsia" w:ascii="仿宋" w:hAnsi="仿宋" w:eastAsia="仿宋" w:cstheme="minorBidi"/>
          <w:b/>
          <w:bCs/>
          <w:sz w:val="32"/>
          <w:szCs w:val="32"/>
        </w:rPr>
        <w:t>20</w:t>
      </w:r>
      <w:r>
        <w:rPr>
          <w:rFonts w:hint="eastAsia" w:ascii="仿宋" w:hAnsi="仿宋" w:eastAsia="仿宋" w:cstheme="minorBidi"/>
          <w:b/>
          <w:bCs/>
          <w:sz w:val="32"/>
          <w:szCs w:val="32"/>
          <w:lang w:val="en-US" w:eastAsia="zh-CN"/>
        </w:rPr>
        <w:t>22</w:t>
      </w:r>
      <w:r>
        <w:rPr>
          <w:rFonts w:hint="eastAsia" w:ascii="仿宋" w:hAnsi="仿宋" w:eastAsia="仿宋" w:cstheme="minorBidi"/>
          <w:b/>
          <w:bCs/>
          <w:sz w:val="32"/>
          <w:szCs w:val="32"/>
        </w:rPr>
        <w:t>年度</w:t>
      </w:r>
      <w:r>
        <w:rPr>
          <w:rFonts w:hint="eastAsia" w:ascii="仿宋" w:hAnsi="仿宋" w:eastAsia="仿宋" w:cstheme="minorBidi"/>
          <w:b/>
          <w:bCs/>
          <w:sz w:val="32"/>
          <w:szCs w:val="32"/>
          <w:lang w:eastAsia="zh-CN"/>
        </w:rPr>
        <w:t>自收自支人员和住建专项资金</w:t>
      </w:r>
      <w:r>
        <w:rPr>
          <w:rFonts w:hint="eastAsia" w:ascii="仿宋" w:hAnsi="仿宋" w:eastAsia="仿宋" w:cstheme="minorBidi"/>
          <w:b/>
          <w:bCs/>
          <w:sz w:val="32"/>
          <w:szCs w:val="32"/>
        </w:rPr>
        <w:t>项目</w:t>
      </w:r>
      <w:r>
        <w:rPr>
          <w:rFonts w:hint="eastAsia" w:ascii="仿宋" w:hAnsi="仿宋" w:eastAsia="仿宋" w:cstheme="minorBidi"/>
          <w:b/>
          <w:bCs/>
          <w:sz w:val="32"/>
          <w:szCs w:val="32"/>
          <w:lang w:eastAsia="zh-CN"/>
        </w:rPr>
        <w:t>支出</w:t>
      </w:r>
      <w:r>
        <w:rPr>
          <w:rFonts w:hint="eastAsia" w:ascii="仿宋" w:hAnsi="仿宋" w:eastAsia="仿宋" w:cstheme="minorBidi"/>
          <w:b/>
          <w:bCs/>
          <w:sz w:val="32"/>
          <w:szCs w:val="32"/>
        </w:rPr>
        <w:t>绩效</w:t>
      </w:r>
      <w:r>
        <w:rPr>
          <w:rFonts w:hint="eastAsia" w:ascii="仿宋" w:hAnsi="仿宋" w:eastAsia="仿宋" w:cstheme="minorBidi"/>
          <w:b/>
          <w:bCs/>
          <w:sz w:val="32"/>
          <w:szCs w:val="32"/>
          <w:lang w:eastAsia="zh-CN"/>
        </w:rPr>
        <w:t>自</w:t>
      </w:r>
      <w:r>
        <w:rPr>
          <w:rFonts w:hint="eastAsia" w:ascii="仿宋" w:hAnsi="仿宋" w:eastAsia="仿宋" w:cstheme="minorBidi"/>
          <w:b/>
          <w:bCs/>
          <w:sz w:val="32"/>
          <w:szCs w:val="32"/>
        </w:rPr>
        <w:t>评报告</w:t>
      </w:r>
    </w:p>
    <w:p>
      <w:pPr>
        <w:pStyle w:val="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40" w:lineRule="exact"/>
        <w:ind w:firstLine="465"/>
        <w:textAlignment w:val="auto"/>
        <w:rPr>
          <w:rFonts w:hint="eastAsia" w:ascii="Times New Roman" w:hAnsi="Times New Roman" w:eastAsia="楷体" w:cs="Times New Roman"/>
          <w:b/>
          <w:kern w:val="2"/>
          <w:sz w:val="32"/>
          <w:szCs w:val="32"/>
          <w:lang w:val="en-US" w:eastAsia="zh-CN" w:bidi="ar-SA"/>
        </w:rPr>
      </w:pPr>
      <w:r>
        <w:rPr>
          <w:rFonts w:hint="eastAsia" w:ascii="Times New Roman" w:hAnsi="Times New Roman" w:eastAsia="楷体" w:cs="Times New Roman"/>
          <w:b/>
          <w:kern w:val="2"/>
          <w:sz w:val="32"/>
          <w:szCs w:val="32"/>
          <w:lang w:val="en-US" w:eastAsia="zh-CN" w:bidi="ar-SA"/>
        </w:rPr>
        <w:t>一、基本情况</w:t>
      </w:r>
    </w:p>
    <w:p>
      <w:pPr>
        <w:spacing w:line="520" w:lineRule="exact"/>
        <w:ind w:firstLine="640" w:firstLineChars="200"/>
        <w:rPr>
          <w:rFonts w:hint="eastAsia" w:ascii="仿宋" w:hAnsi="仿宋" w:eastAsia="仿宋" w:cs="仿宋"/>
          <w:bCs/>
          <w:sz w:val="32"/>
          <w:szCs w:val="32"/>
          <w:lang w:eastAsia="zh-CN"/>
        </w:rPr>
      </w:pPr>
      <w:r>
        <w:rPr>
          <w:rFonts w:hint="eastAsia" w:ascii="仿宋" w:hAnsi="仿宋" w:eastAsia="仿宋" w:cs="仿宋"/>
          <w:bCs/>
          <w:sz w:val="32"/>
          <w:szCs w:val="32"/>
        </w:rPr>
        <w:t>（一）项目概况：</w:t>
      </w:r>
      <w:r>
        <w:rPr>
          <w:rFonts w:hint="eastAsia" w:ascii="仿宋" w:hAnsi="仿宋" w:eastAsia="仿宋" w:cs="仿宋"/>
          <w:bCs/>
          <w:sz w:val="32"/>
          <w:szCs w:val="32"/>
          <w:lang w:val="en-US" w:eastAsia="zh-CN"/>
        </w:rPr>
        <w:t>2022年度自收自支人员和住建专项资金共132.8万元，</w:t>
      </w:r>
      <w:r>
        <w:rPr>
          <w:rFonts w:hint="eastAsia" w:ascii="仿宋" w:hAnsi="仿宋" w:eastAsia="仿宋" w:cs="仿宋"/>
          <w:bCs/>
          <w:sz w:val="32"/>
          <w:szCs w:val="32"/>
        </w:rPr>
        <w:t>该项目</w:t>
      </w:r>
      <w:r>
        <w:rPr>
          <w:rFonts w:hint="eastAsia" w:ascii="仿宋" w:hAnsi="仿宋" w:eastAsia="仿宋" w:cs="仿宋"/>
          <w:bCs/>
          <w:sz w:val="32"/>
          <w:szCs w:val="32"/>
          <w:lang w:eastAsia="zh-CN"/>
        </w:rPr>
        <w:t>主要是</w:t>
      </w:r>
      <w:r>
        <w:rPr>
          <w:rFonts w:hint="eastAsia" w:ascii="仿宋" w:hAnsi="仿宋" w:eastAsia="仿宋" w:cs="仿宋"/>
          <w:bCs/>
          <w:sz w:val="32"/>
          <w:szCs w:val="32"/>
        </w:rPr>
        <w:t>为</w:t>
      </w:r>
      <w:r>
        <w:rPr>
          <w:rFonts w:hint="eastAsia" w:ascii="仿宋" w:hAnsi="仿宋" w:eastAsia="仿宋" w:cs="仿宋"/>
          <w:bCs/>
          <w:sz w:val="32"/>
          <w:szCs w:val="32"/>
          <w:lang w:eastAsia="zh-CN"/>
        </w:rPr>
        <w:t>了解决自收自支人员工资福利及经费而发生的专项资金。</w:t>
      </w:r>
      <w:r>
        <w:rPr>
          <w:rFonts w:hint="eastAsia" w:ascii="仿宋" w:hAnsi="仿宋" w:eastAsia="仿宋" w:cs="仿宋"/>
          <w:bCs/>
          <w:sz w:val="32"/>
          <w:szCs w:val="32"/>
        </w:rPr>
        <w:t>中方县建设工程质量安全监督站</w:t>
      </w:r>
      <w:r>
        <w:rPr>
          <w:rFonts w:hint="eastAsia" w:ascii="仿宋" w:hAnsi="仿宋" w:eastAsia="仿宋" w:cs="仿宋"/>
          <w:bCs/>
          <w:sz w:val="32"/>
          <w:szCs w:val="32"/>
          <w:lang w:eastAsia="zh-CN"/>
        </w:rPr>
        <w:t>系我局二级自收自支事业单位，</w:t>
      </w:r>
      <w:r>
        <w:rPr>
          <w:rFonts w:hint="eastAsia" w:ascii="仿宋" w:hAnsi="仿宋" w:eastAsia="仿宋" w:cs="仿宋"/>
          <w:bCs/>
          <w:sz w:val="32"/>
          <w:szCs w:val="32"/>
          <w:lang w:val="en-US" w:eastAsia="zh-CN"/>
        </w:rPr>
        <w:t>2022年人员编制45人，在岗38人。</w:t>
      </w:r>
      <w:r>
        <w:rPr>
          <w:rFonts w:hint="eastAsia" w:ascii="仿宋" w:hAnsi="仿宋" w:eastAsia="仿宋" w:cs="仿宋"/>
          <w:bCs/>
          <w:sz w:val="32"/>
          <w:szCs w:val="32"/>
        </w:rPr>
        <w:t>主要负责全县规划区内房屋建筑工程和市政基础设施工程质量安全监督管理、开工条件审查、建筑扬尘治理、建筑施工现场消防管理、竣工验收、质量安全投诉等工作，2022年</w:t>
      </w:r>
      <w:r>
        <w:rPr>
          <w:rFonts w:hint="eastAsia" w:ascii="仿宋" w:hAnsi="仿宋" w:eastAsia="仿宋" w:cs="仿宋"/>
          <w:bCs/>
          <w:sz w:val="32"/>
          <w:szCs w:val="32"/>
          <w:lang w:eastAsia="zh-CN"/>
        </w:rPr>
        <w:t>县编制委员会</w:t>
      </w:r>
      <w:r>
        <w:rPr>
          <w:rFonts w:hint="eastAsia" w:ascii="仿宋" w:hAnsi="仿宋" w:eastAsia="仿宋" w:cs="仿宋"/>
          <w:bCs/>
          <w:sz w:val="32"/>
          <w:szCs w:val="32"/>
        </w:rPr>
        <w:t>将</w:t>
      </w:r>
      <w:r>
        <w:rPr>
          <w:rFonts w:hint="eastAsia" w:ascii="仿宋" w:hAnsi="仿宋" w:eastAsia="仿宋" w:cs="仿宋"/>
          <w:bCs/>
          <w:sz w:val="32"/>
          <w:szCs w:val="32"/>
          <w:lang w:eastAsia="zh-CN"/>
        </w:rPr>
        <w:t>其</w:t>
      </w:r>
      <w:r>
        <w:rPr>
          <w:rFonts w:hint="eastAsia" w:ascii="仿宋" w:hAnsi="仿宋" w:eastAsia="仿宋" w:cs="仿宋"/>
          <w:bCs/>
          <w:sz w:val="32"/>
          <w:szCs w:val="32"/>
        </w:rPr>
        <w:t>划</w:t>
      </w:r>
      <w:r>
        <w:rPr>
          <w:rFonts w:hint="eastAsia" w:ascii="仿宋" w:hAnsi="仿宋" w:eastAsia="仿宋" w:cs="仿宋"/>
          <w:bCs/>
          <w:sz w:val="32"/>
          <w:szCs w:val="32"/>
          <w:lang w:eastAsia="zh-CN"/>
        </w:rPr>
        <w:t>为</w:t>
      </w:r>
      <w:r>
        <w:rPr>
          <w:rFonts w:hint="eastAsia" w:ascii="仿宋" w:hAnsi="仿宋" w:eastAsia="仿宋" w:cs="仿宋"/>
          <w:bCs/>
          <w:sz w:val="32"/>
          <w:szCs w:val="32"/>
        </w:rPr>
        <w:t>一类公益事业单位</w:t>
      </w:r>
      <w:r>
        <w:rPr>
          <w:rFonts w:hint="eastAsia" w:ascii="仿宋" w:hAnsi="仿宋" w:eastAsia="仿宋" w:cs="仿宋"/>
          <w:bCs/>
          <w:sz w:val="32"/>
          <w:szCs w:val="32"/>
          <w:lang w:eastAsia="zh-CN"/>
        </w:rPr>
        <w:t>，但县财政并未解决其经费来源，</w:t>
      </w:r>
      <w:r>
        <w:rPr>
          <w:rFonts w:hint="eastAsia" w:ascii="仿宋" w:hAnsi="仿宋" w:eastAsia="仿宋" w:cs="仿宋"/>
          <w:bCs/>
          <w:sz w:val="32"/>
          <w:szCs w:val="32"/>
        </w:rPr>
        <w:t>每年每人只预算人头经费7万元</w:t>
      </w:r>
      <w:r>
        <w:rPr>
          <w:rFonts w:hint="eastAsia" w:ascii="仿宋" w:hAnsi="仿宋" w:eastAsia="仿宋" w:cs="仿宋"/>
          <w:bCs/>
          <w:sz w:val="32"/>
          <w:szCs w:val="32"/>
          <w:lang w:eastAsia="zh-CN"/>
        </w:rPr>
        <w:t>。</w:t>
      </w:r>
      <w:r>
        <w:rPr>
          <w:rFonts w:hint="eastAsia" w:ascii="仿宋" w:hAnsi="仿宋" w:eastAsia="仿宋" w:cs="仿宋"/>
          <w:bCs/>
          <w:sz w:val="32"/>
          <w:szCs w:val="32"/>
        </w:rPr>
        <w:t>因机构改革和政策调整的原因，质安站原各类服务性、经营性收费均被取消，</w:t>
      </w:r>
      <w:r>
        <w:rPr>
          <w:rFonts w:hint="eastAsia" w:ascii="仿宋" w:hAnsi="仿宋" w:eastAsia="仿宋" w:cs="仿宋"/>
          <w:bCs/>
          <w:sz w:val="32"/>
          <w:szCs w:val="32"/>
          <w:lang w:eastAsia="zh-CN"/>
        </w:rPr>
        <w:t>每年经费</w:t>
      </w:r>
      <w:r>
        <w:rPr>
          <w:rFonts w:hint="eastAsia" w:ascii="仿宋" w:hAnsi="仿宋" w:eastAsia="仿宋" w:cs="仿宋"/>
          <w:bCs/>
          <w:sz w:val="32"/>
          <w:szCs w:val="32"/>
        </w:rPr>
        <w:t>支出缺口无法弥补</w:t>
      </w:r>
      <w:r>
        <w:rPr>
          <w:rFonts w:hint="eastAsia" w:ascii="仿宋" w:hAnsi="仿宋" w:eastAsia="仿宋" w:cs="仿宋"/>
          <w:bCs/>
          <w:sz w:val="32"/>
          <w:szCs w:val="32"/>
          <w:lang w:eastAsia="zh-CN"/>
        </w:rPr>
        <w:t>，严重影响了该项职责的履行。为了调动干部职工的积极性，</w:t>
      </w:r>
      <w:r>
        <w:rPr>
          <w:rFonts w:hint="eastAsia" w:ascii="仿宋" w:hAnsi="仿宋" w:eastAsia="仿宋" w:cs="仿宋"/>
          <w:bCs/>
          <w:sz w:val="32"/>
          <w:szCs w:val="32"/>
        </w:rPr>
        <w:t>保障县质安站人员基本经费和工作正常运转，确保全县领域内房屋建筑工程和市政基础设施工程质量、安全监督管理工作有序开展</w:t>
      </w:r>
      <w:r>
        <w:rPr>
          <w:rFonts w:hint="eastAsia" w:ascii="仿宋" w:hAnsi="仿宋" w:eastAsia="仿宋" w:cs="仿宋"/>
          <w:bCs/>
          <w:sz w:val="32"/>
          <w:szCs w:val="32"/>
          <w:lang w:eastAsia="zh-CN"/>
        </w:rPr>
        <w:t>，县财政按本单位</w:t>
      </w:r>
      <w:r>
        <w:rPr>
          <w:rFonts w:hint="eastAsia" w:ascii="仿宋" w:hAnsi="仿宋" w:eastAsia="仿宋" w:cs="仿宋"/>
          <w:bCs/>
          <w:sz w:val="32"/>
          <w:szCs w:val="32"/>
          <w:lang w:val="en-US" w:eastAsia="zh-CN"/>
        </w:rPr>
        <w:t>2021</w:t>
      </w:r>
      <w:r>
        <w:rPr>
          <w:rFonts w:hint="eastAsia" w:ascii="仿宋" w:hAnsi="仿宋" w:eastAsia="仿宋" w:cs="仿宋"/>
          <w:bCs/>
          <w:sz w:val="32"/>
          <w:szCs w:val="32"/>
          <w:lang w:eastAsia="zh-CN"/>
        </w:rPr>
        <w:t>年完成非税收入指标情况考核后拨付。</w:t>
      </w:r>
    </w:p>
    <w:p>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（二）项目绩效目标：</w:t>
      </w:r>
    </w:p>
    <w:p>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1</w:t>
      </w:r>
      <w:r>
        <w:rPr>
          <w:rFonts w:hint="eastAsia" w:ascii="仿宋" w:hAnsi="仿宋" w:eastAsia="仿宋" w:cs="仿宋"/>
          <w:bCs/>
          <w:sz w:val="32"/>
          <w:szCs w:val="32"/>
          <w:lang w:eastAsia="zh-CN"/>
        </w:rPr>
        <w:t>、</w:t>
      </w:r>
      <w:r>
        <w:rPr>
          <w:rFonts w:hint="eastAsia" w:ascii="仿宋" w:hAnsi="仿宋" w:eastAsia="仿宋" w:cs="仿宋"/>
          <w:bCs/>
          <w:sz w:val="32"/>
          <w:szCs w:val="32"/>
        </w:rPr>
        <w:t>项目绩效总目标</w:t>
      </w:r>
    </w:p>
    <w:p>
      <w:pPr>
        <w:spacing w:line="520" w:lineRule="exact"/>
        <w:ind w:firstLine="640" w:firstLineChars="200"/>
        <w:rPr>
          <w:rFonts w:hint="eastAsia" w:ascii="仿宋" w:hAnsi="仿宋" w:eastAsia="仿宋" w:cs="仿宋"/>
          <w:bCs/>
          <w:sz w:val="32"/>
          <w:szCs w:val="32"/>
          <w:lang w:eastAsia="zh-CN"/>
        </w:rPr>
      </w:pPr>
      <w:r>
        <w:rPr>
          <w:rFonts w:hint="eastAsia" w:ascii="仿宋" w:hAnsi="仿宋" w:eastAsia="仿宋" w:cs="仿宋"/>
          <w:bCs/>
          <w:sz w:val="32"/>
          <w:szCs w:val="32"/>
          <w:lang w:eastAsia="zh-CN"/>
        </w:rPr>
        <w:t>为了调动干部职工的积极性，</w:t>
      </w:r>
      <w:r>
        <w:rPr>
          <w:rFonts w:hint="eastAsia" w:ascii="仿宋" w:hAnsi="仿宋" w:eastAsia="仿宋" w:cs="仿宋"/>
          <w:bCs/>
          <w:sz w:val="32"/>
          <w:szCs w:val="32"/>
        </w:rPr>
        <w:t>保障县质安站人员基本经费和工作正常运转，确保全县领域内房屋建筑工程和市政基础设施工程质量、安全监督管理工作有序开展</w:t>
      </w:r>
      <w:r>
        <w:rPr>
          <w:rFonts w:hint="eastAsia" w:ascii="仿宋" w:hAnsi="仿宋" w:eastAsia="仿宋" w:cs="仿宋"/>
          <w:bCs/>
          <w:sz w:val="32"/>
          <w:szCs w:val="32"/>
          <w:lang w:eastAsia="zh-CN"/>
        </w:rPr>
        <w:t>。</w:t>
      </w:r>
    </w:p>
    <w:p>
      <w:pPr>
        <w:spacing w:line="520" w:lineRule="exact"/>
        <w:ind w:firstLine="640" w:firstLineChars="200"/>
        <w:rPr>
          <w:rFonts w:hint="default" w:ascii="仿宋" w:hAnsi="仿宋" w:eastAsia="仿宋" w:cs="仿宋"/>
          <w:bCs/>
          <w:sz w:val="32"/>
          <w:szCs w:val="32"/>
          <w:lang w:val="en-US" w:eastAsia="zh-CN"/>
        </w:rPr>
      </w:pPr>
      <w:r>
        <w:rPr>
          <w:rFonts w:hint="eastAsia" w:ascii="仿宋" w:hAnsi="仿宋" w:eastAsia="仿宋" w:cs="仿宋"/>
          <w:bCs/>
          <w:sz w:val="32"/>
          <w:szCs w:val="32"/>
          <w:lang w:val="en-US" w:eastAsia="zh-CN"/>
        </w:rPr>
        <w:t>2、项目绩效阶段性目标</w:t>
      </w:r>
    </w:p>
    <w:p>
      <w:pPr>
        <w:spacing w:line="520" w:lineRule="exact"/>
        <w:ind w:firstLine="640" w:firstLineChars="200"/>
        <w:rPr>
          <w:rFonts w:hint="eastAsia" w:ascii="仿宋" w:hAnsi="仿宋" w:eastAsia="仿宋" w:cs="仿宋"/>
          <w:bCs/>
          <w:sz w:val="32"/>
          <w:szCs w:val="32"/>
          <w:lang w:eastAsia="zh-CN"/>
        </w:rPr>
      </w:pPr>
      <w:r>
        <w:rPr>
          <w:rFonts w:hint="eastAsia" w:ascii="仿宋" w:hAnsi="仿宋" w:eastAsia="仿宋" w:cs="仿宋"/>
          <w:bCs/>
          <w:sz w:val="32"/>
          <w:szCs w:val="32"/>
          <w:lang w:val="en-US" w:eastAsia="zh-CN"/>
        </w:rPr>
        <w:t>完成2021年度非税收入考任务，拨付自收自支人员和住建专项经费132.8万元，</w:t>
      </w:r>
      <w:r>
        <w:rPr>
          <w:rFonts w:hint="eastAsia" w:ascii="仿宋" w:hAnsi="仿宋" w:eastAsia="仿宋" w:cs="仿宋"/>
          <w:bCs/>
          <w:sz w:val="32"/>
          <w:szCs w:val="32"/>
        </w:rPr>
        <w:t>保障县质安站人员</w:t>
      </w:r>
      <w:r>
        <w:rPr>
          <w:rFonts w:hint="eastAsia" w:ascii="仿宋" w:hAnsi="仿宋" w:eastAsia="仿宋" w:cs="仿宋"/>
          <w:bCs/>
          <w:sz w:val="32"/>
          <w:szCs w:val="32"/>
          <w:lang w:eastAsia="zh-CN"/>
        </w:rPr>
        <w:t>工资福利，</w:t>
      </w:r>
      <w:r>
        <w:rPr>
          <w:rFonts w:hint="eastAsia" w:ascii="仿宋" w:hAnsi="仿宋" w:eastAsia="仿宋" w:cs="仿宋"/>
          <w:bCs/>
          <w:sz w:val="32"/>
          <w:szCs w:val="32"/>
        </w:rPr>
        <w:t>确保工作</w:t>
      </w:r>
      <w:r>
        <w:rPr>
          <w:rFonts w:hint="eastAsia" w:ascii="仿宋" w:hAnsi="仿宋" w:eastAsia="仿宋" w:cs="仿宋"/>
          <w:bCs/>
          <w:sz w:val="32"/>
          <w:szCs w:val="32"/>
          <w:lang w:eastAsia="zh-CN"/>
        </w:rPr>
        <w:t>正常</w:t>
      </w:r>
      <w:r>
        <w:rPr>
          <w:rFonts w:hint="eastAsia" w:ascii="仿宋" w:hAnsi="仿宋" w:eastAsia="仿宋" w:cs="仿宋"/>
          <w:bCs/>
          <w:sz w:val="32"/>
          <w:szCs w:val="32"/>
        </w:rPr>
        <w:t>开展</w:t>
      </w:r>
      <w:r>
        <w:rPr>
          <w:rFonts w:hint="eastAsia" w:ascii="仿宋" w:hAnsi="仿宋" w:eastAsia="仿宋" w:cs="仿宋"/>
          <w:bCs/>
          <w:sz w:val="32"/>
          <w:szCs w:val="32"/>
          <w:lang w:eastAsia="zh-CN"/>
        </w:rPr>
        <w:t>。</w:t>
      </w:r>
    </w:p>
    <w:p>
      <w:pPr>
        <w:pStyle w:val="23"/>
        <w:spacing w:line="510" w:lineRule="exact"/>
        <w:ind w:firstLine="640" w:firstLineChars="200"/>
        <w:rPr>
          <w:rFonts w:hint="eastAsia" w:ascii="Times New Roman" w:hAnsi="Times New Roman" w:eastAsia="仿宋"/>
          <w:sz w:val="32"/>
          <w:szCs w:val="32"/>
          <w:lang w:val="en-US" w:eastAsia="zh-CN"/>
        </w:rPr>
      </w:pPr>
    </w:p>
    <w:p>
      <w:pPr>
        <w:pStyle w:val="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40" w:lineRule="exact"/>
        <w:ind w:firstLine="465"/>
        <w:textAlignment w:val="auto"/>
        <w:rPr>
          <w:rFonts w:hint="eastAsia" w:ascii="Times New Roman" w:hAnsi="Times New Roman" w:eastAsia="楷体" w:cs="Times New Roman"/>
          <w:b/>
          <w:kern w:val="2"/>
          <w:sz w:val="32"/>
          <w:szCs w:val="32"/>
          <w:lang w:val="en-US" w:eastAsia="zh-CN" w:bidi="ar-SA"/>
        </w:rPr>
      </w:pPr>
      <w:r>
        <w:rPr>
          <w:rFonts w:hint="eastAsia" w:ascii="Times New Roman" w:hAnsi="Times New Roman" w:eastAsia="楷体" w:cs="Times New Roman"/>
          <w:b/>
          <w:kern w:val="2"/>
          <w:sz w:val="32"/>
          <w:szCs w:val="32"/>
          <w:lang w:val="en-US" w:eastAsia="zh-CN" w:bidi="ar-SA"/>
        </w:rPr>
        <w:t>二、绩效评价工作开展情况</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（一）绩效评价目的、对象和范围。</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1、本次绩效评价目的：</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1）加强和规范自收自支人员和住建专项资金管理，提高专项资金使用效益；</w:t>
      </w:r>
    </w:p>
    <w:p>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2</w:t>
      </w:r>
      <w:r>
        <w:rPr>
          <w:rFonts w:hint="eastAsia" w:ascii="仿宋" w:hAnsi="仿宋" w:eastAsia="仿宋" w:cs="仿宋"/>
          <w:bCs/>
          <w:sz w:val="32"/>
          <w:szCs w:val="32"/>
          <w:lang w:eastAsia="zh-CN"/>
        </w:rPr>
        <w:t>）</w:t>
      </w:r>
      <w:r>
        <w:rPr>
          <w:rFonts w:hint="eastAsia" w:ascii="仿宋" w:hAnsi="仿宋" w:eastAsia="仿宋" w:cs="仿宋"/>
          <w:bCs/>
          <w:sz w:val="32"/>
          <w:szCs w:val="32"/>
        </w:rPr>
        <w:t>建立健全绩效评价机制，更好实现</w:t>
      </w:r>
      <w:r>
        <w:rPr>
          <w:rFonts w:hint="eastAsia" w:ascii="仿宋" w:hAnsi="仿宋" w:eastAsia="仿宋" w:cs="仿宋"/>
          <w:bCs/>
          <w:sz w:val="32"/>
          <w:szCs w:val="32"/>
          <w:lang w:eastAsia="zh-CN"/>
        </w:rPr>
        <w:t>专</w:t>
      </w:r>
      <w:r>
        <w:rPr>
          <w:rFonts w:hint="eastAsia" w:ascii="仿宋" w:hAnsi="仿宋" w:eastAsia="仿宋" w:cs="仿宋"/>
          <w:bCs/>
          <w:sz w:val="32"/>
          <w:szCs w:val="32"/>
        </w:rPr>
        <w:t>项资金绩效目标。</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2、本次绩效评价的对象和范围：2022年非税收入完成考核拨付资金。</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（二）绩效评价原则、评价指标体系（附表说明）、评价方法、评价标准等。</w:t>
      </w:r>
    </w:p>
    <w:p>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lang w:val="en-US" w:eastAsia="zh-CN"/>
        </w:rPr>
        <w:t>1、绩效评价原则：（1）客观、科学、公正的原则；（2）综合绩效评价的原则；（3）定量分析与定性分析的原则；（4）统筹规划、稳步推进的原则；（5）财政支</w:t>
      </w:r>
      <w:r>
        <w:rPr>
          <w:rFonts w:hint="eastAsia" w:ascii="仿宋" w:hAnsi="仿宋" w:eastAsia="仿宋" w:cs="仿宋"/>
          <w:bCs/>
          <w:sz w:val="32"/>
          <w:szCs w:val="32"/>
        </w:rPr>
        <w:t>出绩效评价与财政支出管理相结合的原则；（6）财政支出绩效评价贯彻事前、事中、事后的原则。目标导向、依法评价；科学规范、分级实施；客观公正、公开透明。</w:t>
      </w:r>
    </w:p>
    <w:p>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2、评价方法：因素分析法。</w:t>
      </w:r>
    </w:p>
    <w:p>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3、评价指标体系详见附表。</w:t>
      </w:r>
    </w:p>
    <w:p>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   （三）绩效评价工作过程</w:t>
      </w:r>
    </w:p>
    <w:p>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 xml:space="preserve"> 202</w:t>
      </w:r>
      <w:r>
        <w:rPr>
          <w:rFonts w:hint="eastAsia" w:ascii="仿宋" w:hAnsi="仿宋" w:eastAsia="仿宋" w:cs="仿宋"/>
          <w:bCs/>
          <w:sz w:val="32"/>
          <w:szCs w:val="32"/>
          <w:lang w:val="en-US" w:eastAsia="zh-CN"/>
        </w:rPr>
        <w:t>3</w:t>
      </w:r>
      <w:r>
        <w:rPr>
          <w:rFonts w:hint="eastAsia" w:ascii="仿宋" w:hAnsi="仿宋" w:eastAsia="仿宋" w:cs="仿宋"/>
          <w:bCs/>
          <w:sz w:val="32"/>
          <w:szCs w:val="32"/>
        </w:rPr>
        <w:t>年</w:t>
      </w:r>
      <w:r>
        <w:rPr>
          <w:rFonts w:hint="eastAsia" w:ascii="仿宋" w:hAnsi="仿宋" w:eastAsia="仿宋" w:cs="仿宋"/>
          <w:bCs/>
          <w:sz w:val="32"/>
          <w:szCs w:val="32"/>
          <w:lang w:val="en-US" w:eastAsia="zh-CN"/>
        </w:rPr>
        <w:t>4</w:t>
      </w:r>
      <w:r>
        <w:rPr>
          <w:rFonts w:hint="eastAsia" w:ascii="仿宋" w:hAnsi="仿宋" w:eastAsia="仿宋" w:cs="仿宋"/>
          <w:bCs/>
          <w:sz w:val="32"/>
          <w:szCs w:val="32"/>
        </w:rPr>
        <w:t>月</w:t>
      </w:r>
      <w:r>
        <w:rPr>
          <w:rFonts w:hint="eastAsia" w:ascii="仿宋" w:hAnsi="仿宋" w:eastAsia="仿宋" w:cs="仿宋"/>
          <w:bCs/>
          <w:sz w:val="32"/>
          <w:szCs w:val="32"/>
          <w:lang w:val="en-US" w:eastAsia="zh-CN"/>
        </w:rPr>
        <w:t>15日</w:t>
      </w:r>
      <w:r>
        <w:rPr>
          <w:rFonts w:hint="eastAsia" w:ascii="仿宋" w:hAnsi="仿宋" w:eastAsia="仿宋" w:cs="仿宋"/>
          <w:bCs/>
          <w:sz w:val="32"/>
          <w:szCs w:val="32"/>
        </w:rPr>
        <w:t>，</w:t>
      </w:r>
      <w:r>
        <w:rPr>
          <w:rFonts w:hint="eastAsia" w:ascii="仿宋" w:hAnsi="仿宋" w:eastAsia="仿宋" w:cs="仿宋"/>
          <w:bCs/>
          <w:sz w:val="32"/>
          <w:szCs w:val="32"/>
          <w:lang w:eastAsia="zh-CN"/>
        </w:rPr>
        <w:t>成立了</w:t>
      </w:r>
      <w:r>
        <w:rPr>
          <w:rFonts w:hint="eastAsia" w:ascii="仿宋" w:hAnsi="仿宋" w:eastAsia="仿宋" w:cs="仿宋"/>
          <w:bCs/>
          <w:sz w:val="32"/>
          <w:szCs w:val="32"/>
        </w:rPr>
        <w:t>由本局</w:t>
      </w:r>
      <w:r>
        <w:rPr>
          <w:rFonts w:hint="eastAsia" w:ascii="仿宋" w:hAnsi="仿宋" w:eastAsia="仿宋" w:cs="仿宋"/>
          <w:bCs/>
          <w:sz w:val="32"/>
          <w:szCs w:val="32"/>
          <w:lang w:eastAsia="zh-CN"/>
        </w:rPr>
        <w:t>潘科夫副局长</w:t>
      </w:r>
      <w:r>
        <w:rPr>
          <w:rFonts w:hint="eastAsia" w:ascii="仿宋" w:hAnsi="仿宋" w:eastAsia="仿宋" w:cs="仿宋"/>
          <w:bCs/>
          <w:sz w:val="32"/>
          <w:szCs w:val="32"/>
        </w:rPr>
        <w:t>主管，财务室牵头，</w:t>
      </w:r>
      <w:r>
        <w:rPr>
          <w:rFonts w:hint="eastAsia" w:ascii="仿宋" w:hAnsi="仿宋" w:eastAsia="仿宋" w:cs="仿宋"/>
          <w:bCs/>
          <w:sz w:val="32"/>
          <w:szCs w:val="32"/>
          <w:lang w:eastAsia="zh-CN"/>
        </w:rPr>
        <w:t>城乡和人防</w:t>
      </w:r>
      <w:r>
        <w:rPr>
          <w:rFonts w:hint="eastAsia" w:ascii="仿宋" w:hAnsi="仿宋" w:eastAsia="仿宋" w:cs="仿宋"/>
          <w:bCs/>
          <w:sz w:val="32"/>
          <w:szCs w:val="32"/>
        </w:rPr>
        <w:t>建设管理股</w:t>
      </w:r>
      <w:r>
        <w:rPr>
          <w:rFonts w:hint="eastAsia" w:ascii="仿宋" w:hAnsi="仿宋" w:eastAsia="仿宋" w:cs="仿宋"/>
          <w:bCs/>
          <w:sz w:val="32"/>
          <w:szCs w:val="32"/>
          <w:lang w:eastAsia="zh-CN"/>
        </w:rPr>
        <w:t>、建筑和人防</w:t>
      </w:r>
      <w:r>
        <w:rPr>
          <w:rFonts w:hint="eastAsia" w:ascii="仿宋" w:hAnsi="仿宋" w:eastAsia="仿宋" w:cs="仿宋"/>
          <w:bCs/>
          <w:sz w:val="32"/>
          <w:szCs w:val="32"/>
        </w:rPr>
        <w:t>工程管理股</w:t>
      </w:r>
      <w:r>
        <w:rPr>
          <w:rFonts w:hint="eastAsia" w:ascii="仿宋" w:hAnsi="仿宋" w:eastAsia="仿宋" w:cs="仿宋"/>
          <w:bCs/>
          <w:sz w:val="32"/>
          <w:szCs w:val="32"/>
          <w:lang w:eastAsia="zh-CN"/>
        </w:rPr>
        <w:t>、科技与设计管理股、乡村建设事业服务中心、房地产监管股等股室参与的</w:t>
      </w:r>
      <w:r>
        <w:rPr>
          <w:rFonts w:hint="eastAsia" w:ascii="仿宋" w:hAnsi="仿宋" w:eastAsia="仿宋" w:cs="仿宋"/>
          <w:bCs/>
          <w:sz w:val="32"/>
          <w:szCs w:val="32"/>
        </w:rPr>
        <w:t>绩效自评工作领导小组。根据预算管理和绩效评价相关制度和文件，制定本次绩效评价工作的自评工作方案，向参与本次评价的股室下达绩效通知书，各股到项目现场实地核查、查询填报数据的真实性、准确性、完整性，再根据设定的评价指标、评价方法，并辅以问卷调查、工作座谈等方式进行定量和定性分析，得出最终结果。由</w:t>
      </w:r>
      <w:r>
        <w:rPr>
          <w:rFonts w:hint="eastAsia" w:ascii="仿宋" w:hAnsi="仿宋" w:eastAsia="仿宋" w:cs="仿宋"/>
          <w:bCs/>
          <w:sz w:val="32"/>
          <w:szCs w:val="32"/>
          <w:lang w:eastAsia="zh-CN"/>
        </w:rPr>
        <w:t>各业务股室</w:t>
      </w:r>
      <w:r>
        <w:rPr>
          <w:rFonts w:hint="eastAsia" w:ascii="仿宋" w:hAnsi="仿宋" w:eastAsia="仿宋" w:cs="仿宋"/>
          <w:bCs/>
          <w:sz w:val="32"/>
          <w:szCs w:val="32"/>
        </w:rPr>
        <w:t>填写&lt;&lt;项目支出绩效自评表&gt;&gt;进行自评。然后再运用科学、合理的绩效评价指标、评价标准和方法，组织开展绩效评价，撰写本项目的绩效评价报告。</w:t>
      </w:r>
    </w:p>
    <w:p>
      <w:pPr>
        <w:pStyle w:val="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40" w:lineRule="exact"/>
        <w:ind w:firstLine="465"/>
        <w:textAlignment w:val="auto"/>
        <w:rPr>
          <w:rFonts w:hint="eastAsia" w:ascii="Times New Roman" w:hAnsi="Times New Roman" w:eastAsia="楷体" w:cs="Times New Roman"/>
          <w:b/>
          <w:kern w:val="2"/>
          <w:sz w:val="32"/>
          <w:szCs w:val="32"/>
          <w:lang w:val="en-US" w:eastAsia="zh-CN" w:bidi="ar-SA"/>
        </w:rPr>
      </w:pPr>
      <w:r>
        <w:rPr>
          <w:rFonts w:hint="eastAsia" w:ascii="Times New Roman" w:hAnsi="Times New Roman" w:eastAsia="楷体" w:cs="Times New Roman"/>
          <w:b/>
          <w:kern w:val="2"/>
          <w:sz w:val="32"/>
          <w:szCs w:val="32"/>
          <w:lang w:val="en-US" w:eastAsia="zh-CN" w:bidi="ar-SA"/>
        </w:rPr>
        <w:t>三、综合评价情况及评价结论（附相关评分表）</w:t>
      </w:r>
    </w:p>
    <w:p>
      <w:pPr>
        <w:pStyle w:val="23"/>
        <w:spacing w:line="510" w:lineRule="exact"/>
        <w:ind w:firstLine="640" w:firstLineChars="200"/>
        <w:rPr>
          <w:rFonts w:ascii="仿宋_GB2312" w:eastAsia="仿宋_GB2312"/>
          <w:color w:val="FF0000"/>
          <w:sz w:val="32"/>
          <w:szCs w:val="32"/>
          <w:shd w:val="clear" w:color="auto" w:fill="FFFFFF"/>
        </w:rPr>
      </w:pPr>
      <w:r>
        <w:rPr>
          <w:rFonts w:hint="eastAsia" w:ascii="Times New Roman" w:hAnsi="Times New Roman" w:eastAsia="仿宋"/>
          <w:sz w:val="32"/>
          <w:szCs w:val="32"/>
        </w:rPr>
        <w:t>按照《20</w:t>
      </w:r>
      <w:r>
        <w:rPr>
          <w:rFonts w:hint="eastAsia" w:ascii="Times New Roman" w:hAnsi="Times New Roman" w:eastAsia="仿宋"/>
          <w:sz w:val="32"/>
          <w:szCs w:val="32"/>
          <w:lang w:val="en-US" w:eastAsia="zh-CN"/>
        </w:rPr>
        <w:t>22</w:t>
      </w:r>
      <w:r>
        <w:rPr>
          <w:rFonts w:hint="eastAsia" w:ascii="Times New Roman" w:hAnsi="Times New Roman" w:eastAsia="仿宋"/>
          <w:sz w:val="32"/>
          <w:szCs w:val="32"/>
        </w:rPr>
        <w:t>年住房和城乡建设</w:t>
      </w:r>
      <w:r>
        <w:rPr>
          <w:rFonts w:hint="eastAsia" w:ascii="Times New Roman" w:hAnsi="Times New Roman" w:eastAsia="仿宋"/>
          <w:sz w:val="32"/>
          <w:szCs w:val="32"/>
          <w:lang w:eastAsia="zh-CN"/>
        </w:rPr>
        <w:t>专项资金</w:t>
      </w:r>
      <w:r>
        <w:rPr>
          <w:rFonts w:hint="eastAsia" w:ascii="Times New Roman" w:hAnsi="Times New Roman" w:eastAsia="仿宋"/>
          <w:sz w:val="32"/>
          <w:szCs w:val="32"/>
        </w:rPr>
        <w:t>项目绩效评价指标体系》，评价工作组对20</w:t>
      </w:r>
      <w:r>
        <w:rPr>
          <w:rFonts w:hint="eastAsia" w:ascii="Times New Roman" w:hAnsi="Times New Roman" w:eastAsia="仿宋"/>
          <w:sz w:val="32"/>
          <w:szCs w:val="32"/>
          <w:lang w:val="en-US" w:eastAsia="zh-CN"/>
        </w:rPr>
        <w:t>22</w:t>
      </w:r>
      <w:r>
        <w:rPr>
          <w:rFonts w:hint="eastAsia" w:ascii="Times New Roman" w:hAnsi="Times New Roman" w:eastAsia="仿宋"/>
          <w:sz w:val="32"/>
          <w:szCs w:val="32"/>
        </w:rPr>
        <w:t>年</w:t>
      </w:r>
      <w:r>
        <w:rPr>
          <w:rFonts w:hint="eastAsia" w:ascii="Times New Roman" w:hAnsi="Times New Roman" w:eastAsia="仿宋"/>
          <w:sz w:val="32"/>
          <w:szCs w:val="32"/>
          <w:lang w:eastAsia="zh-CN"/>
        </w:rPr>
        <w:t>自收自支人员和住建专项资金</w:t>
      </w:r>
      <w:r>
        <w:rPr>
          <w:rFonts w:hint="eastAsia" w:ascii="Times New Roman" w:hAnsi="Times New Roman" w:eastAsia="仿宋"/>
          <w:sz w:val="32"/>
          <w:szCs w:val="32"/>
        </w:rPr>
        <w:t>项目绩效进行评价的评分分值为9</w:t>
      </w:r>
      <w:r>
        <w:rPr>
          <w:rFonts w:hint="eastAsia" w:ascii="Times New Roman" w:hAnsi="Times New Roman" w:eastAsia="仿宋"/>
          <w:sz w:val="32"/>
          <w:szCs w:val="32"/>
          <w:lang w:val="en-US" w:eastAsia="zh-CN"/>
        </w:rPr>
        <w:t>4</w:t>
      </w:r>
      <w:r>
        <w:rPr>
          <w:rFonts w:hint="eastAsia" w:ascii="Times New Roman" w:hAnsi="Times New Roman" w:eastAsia="仿宋"/>
          <w:sz w:val="32"/>
          <w:szCs w:val="32"/>
        </w:rPr>
        <w:t>分。</w:t>
      </w:r>
    </w:p>
    <w:p>
      <w:pPr>
        <w:pStyle w:val="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40" w:lineRule="exact"/>
        <w:ind w:firstLine="465"/>
        <w:textAlignment w:val="auto"/>
        <w:rPr>
          <w:rFonts w:hint="eastAsia" w:ascii="Times New Roman" w:hAnsi="Times New Roman" w:eastAsia="楷体" w:cs="Times New Roman"/>
          <w:b/>
          <w:kern w:val="2"/>
          <w:sz w:val="32"/>
          <w:szCs w:val="32"/>
          <w:lang w:val="en-US" w:eastAsia="zh-CN" w:bidi="ar-SA"/>
        </w:rPr>
      </w:pPr>
      <w:r>
        <w:rPr>
          <w:rFonts w:hint="eastAsia" w:ascii="Times New Roman" w:hAnsi="Times New Roman" w:eastAsia="楷体" w:cs="Times New Roman"/>
          <w:b/>
          <w:kern w:val="2"/>
          <w:sz w:val="32"/>
          <w:szCs w:val="32"/>
          <w:lang w:val="en-US" w:eastAsia="zh-CN" w:bidi="ar-SA"/>
        </w:rPr>
        <w:t>四、绩效评价指标分析</w:t>
      </w:r>
    </w:p>
    <w:p>
      <w:pPr>
        <w:pStyle w:val="23"/>
        <w:spacing w:line="510" w:lineRule="exact"/>
        <w:ind w:firstLine="640" w:firstLineChars="200"/>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（一）项目决策情况</w:t>
      </w:r>
    </w:p>
    <w:p>
      <w:pPr>
        <w:pStyle w:val="23"/>
        <w:spacing w:line="510" w:lineRule="exact"/>
        <w:ind w:firstLine="640" w:firstLineChars="200"/>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项目资金根据预算分配，预算编制科学、资金分配合理、绩效指标明确性。</w:t>
      </w:r>
    </w:p>
    <w:p>
      <w:pPr>
        <w:pStyle w:val="23"/>
        <w:spacing w:line="510" w:lineRule="exact"/>
        <w:ind w:firstLine="640" w:firstLineChars="200"/>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（二）项目过程情况</w:t>
      </w:r>
    </w:p>
    <w:p>
      <w:pPr>
        <w:pStyle w:val="23"/>
        <w:spacing w:line="510" w:lineRule="exact"/>
        <w:ind w:firstLine="640" w:firstLineChars="200"/>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１、项目资金到位情况分析</w:t>
      </w:r>
    </w:p>
    <w:p>
      <w:pPr>
        <w:pStyle w:val="23"/>
        <w:spacing w:line="510" w:lineRule="exact"/>
        <w:ind w:firstLine="640" w:firstLineChars="200"/>
        <w:rPr>
          <w:rFonts w:hint="default"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2022年该项目预算支出132.8万元，因为2021年度非税收入未完成计划指标，实际拨付到位121.76万元，资金到位率91.68%。</w:t>
      </w:r>
    </w:p>
    <w:p>
      <w:pPr>
        <w:pStyle w:val="23"/>
        <w:spacing w:line="510" w:lineRule="exact"/>
        <w:ind w:firstLine="640" w:firstLineChars="200"/>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2、项目资金使用情况分析</w:t>
      </w:r>
    </w:p>
    <w:p>
      <w:pPr>
        <w:pStyle w:val="23"/>
        <w:spacing w:line="510" w:lineRule="exact"/>
        <w:ind w:firstLine="640" w:firstLineChars="200"/>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2022年度自收自支人员和住建专项资金实际拨付121.76万元，主要用于自收自支人员工资。</w:t>
      </w:r>
    </w:p>
    <w:p>
      <w:pPr>
        <w:pStyle w:val="23"/>
        <w:spacing w:line="510" w:lineRule="exact"/>
        <w:ind w:firstLine="640" w:firstLineChars="200"/>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3、项目资金管理情况分析</w:t>
      </w:r>
    </w:p>
    <w:p>
      <w:pPr>
        <w:pStyle w:val="23"/>
        <w:spacing w:line="510" w:lineRule="exact"/>
        <w:ind w:firstLine="640" w:firstLineChars="200"/>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我局2022年项目制定了一些专门办法和细则，按照通用财务管理制度、办法进行了业务管理，设有专账或账页核算，纳入财政统一核算管理，有单独的记账凭证、账本、会计报表，财务上由计划财务股负责管理，项目资金管理到位，项目工程造价全部由县财政财评中心评审。</w:t>
      </w:r>
    </w:p>
    <w:p>
      <w:pPr>
        <w:pStyle w:val="23"/>
        <w:spacing w:line="510" w:lineRule="exact"/>
        <w:ind w:firstLine="640" w:firstLineChars="200"/>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（三）项目产出情况。</w:t>
      </w:r>
    </w:p>
    <w:p>
      <w:pPr>
        <w:pStyle w:val="23"/>
        <w:spacing w:line="510" w:lineRule="exact"/>
        <w:ind w:firstLine="640" w:firstLineChars="200"/>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通过财政监督及部门审核，自收自支人员和住建专项资金得到充足、高效利用。通过该项专项资金，一定程度上缓解了自收自支人员经费不足的压力，保障了县质安站工作正常运转，确保全县领域内房屋建筑工程和市政基础设施工程质量、安全监督管理工作有序开展。</w:t>
      </w:r>
    </w:p>
    <w:p>
      <w:pPr>
        <w:pStyle w:val="23"/>
        <w:spacing w:line="510" w:lineRule="exact"/>
        <w:ind w:firstLine="640" w:firstLineChars="200"/>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（四）项目效益情况。</w:t>
      </w:r>
    </w:p>
    <w:p>
      <w:pPr>
        <w:pStyle w:val="23"/>
        <w:spacing w:line="520" w:lineRule="exact"/>
        <w:ind w:firstLine="640" w:firstLineChars="200"/>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项目综合评价较好，民众满意度较高。 从项目管理、项目资金、环境影响、社会评价各方面都得到了社会各界的好评。</w:t>
      </w:r>
    </w:p>
    <w:p>
      <w:pPr>
        <w:pStyle w:val="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40" w:lineRule="exact"/>
        <w:ind w:firstLine="465"/>
        <w:textAlignment w:val="auto"/>
        <w:rPr>
          <w:rFonts w:hint="eastAsia" w:ascii="Times New Roman" w:hAnsi="Times New Roman" w:eastAsia="楷体" w:cs="Times New Roman"/>
          <w:b/>
          <w:kern w:val="2"/>
          <w:sz w:val="32"/>
          <w:szCs w:val="32"/>
          <w:lang w:val="en-US" w:eastAsia="zh-CN" w:bidi="ar-SA"/>
        </w:rPr>
      </w:pPr>
      <w:r>
        <w:rPr>
          <w:rFonts w:hint="eastAsia" w:ascii="Times New Roman" w:hAnsi="Times New Roman" w:eastAsia="楷体" w:cs="Times New Roman"/>
          <w:b/>
          <w:kern w:val="2"/>
          <w:sz w:val="32"/>
          <w:szCs w:val="32"/>
          <w:lang w:val="en-US" w:eastAsia="zh-CN" w:bidi="ar-SA"/>
        </w:rPr>
        <w:t>五、主要经验及做法、存在的问题及原因分析</w:t>
      </w:r>
    </w:p>
    <w:p>
      <w:pPr>
        <w:pStyle w:val="23"/>
        <w:spacing w:line="510" w:lineRule="exact"/>
        <w:ind w:firstLine="640" w:firstLineChars="200"/>
        <w:rPr>
          <w:rFonts w:hint="default"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一）主要经验及做法：为了加强专项资金绩效管理，保证专项资金使用安全、高效，我局成立了专项资金绩效评价工作领导小组，负责组织、协调、监控部门预算编制与执行、预算绩效管理等工作。在实际操作过程中严格按照有关规章制度和工作流程，严格按照事前设定目标，事中跟踪监控目标实现过程，事后评价目标完成情况的科学可行的原则，加强了我局专项资金绩效管理，强化了专项资金支出责任和效率，提高了专金资金使用效益。</w:t>
      </w:r>
    </w:p>
    <w:p>
      <w:pPr>
        <w:pStyle w:val="23"/>
        <w:spacing w:line="510" w:lineRule="exact"/>
        <w:ind w:firstLine="640" w:firstLineChars="200"/>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二）存在问题及原因分析：由于我县采用额度申报方式，资金使用基于县财政的宏观调控，导致专项资金数额不足、拨付不及时等问题。对于财政资金绩效评价工作的了解不够深入，容易把预算绩效等同于工作目标、工作考核和业务管理。绩效目标和指标也只是根据项目实际完成情况制定，对项目执行过程有效约束不够，存在一定的偏差。在绩效考评指标的设计上，部分特色指标缺乏数据支持和可行的分析测评，绩效指标体系有待完善。</w:t>
      </w:r>
    </w:p>
    <w:p>
      <w:pPr>
        <w:pStyle w:val="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440" w:lineRule="exact"/>
        <w:ind w:firstLine="465"/>
        <w:textAlignment w:val="auto"/>
        <w:rPr>
          <w:rFonts w:hint="eastAsia" w:ascii="Times New Roman" w:hAnsi="Times New Roman" w:eastAsia="楷体" w:cs="Times New Roman"/>
          <w:b/>
          <w:kern w:val="2"/>
          <w:sz w:val="32"/>
          <w:szCs w:val="32"/>
          <w:lang w:val="en-US" w:eastAsia="zh-CN" w:bidi="ar-SA"/>
        </w:rPr>
      </w:pPr>
      <w:r>
        <w:rPr>
          <w:rFonts w:hint="eastAsia" w:ascii="Times New Roman" w:hAnsi="Times New Roman" w:eastAsia="楷体" w:cs="Times New Roman"/>
          <w:b/>
          <w:kern w:val="2"/>
          <w:sz w:val="32"/>
          <w:szCs w:val="32"/>
          <w:lang w:val="en-US" w:eastAsia="zh-CN" w:bidi="ar-SA"/>
        </w:rPr>
        <w:t>六、有关建议</w:t>
      </w:r>
    </w:p>
    <w:p>
      <w:pPr>
        <w:pStyle w:val="23"/>
        <w:spacing w:line="510" w:lineRule="exact"/>
        <w:ind w:firstLine="640" w:firstLineChars="200"/>
        <w:rPr>
          <w:rFonts w:hint="eastAsia"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1. 今后要与财政部门多沟通交流，保障专项资金及时足额到位。</w:t>
      </w:r>
    </w:p>
    <w:p>
      <w:pPr>
        <w:pStyle w:val="23"/>
        <w:spacing w:line="510" w:lineRule="exact"/>
        <w:ind w:firstLine="640" w:firstLineChars="200"/>
        <w:rPr>
          <w:rFonts w:hint="default"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2.加强绩效评价管理制度和流程的建设，进一步深化、完善绩效管理体系，建立全过程的预算绩效管理机制。</w:t>
      </w:r>
    </w:p>
    <w:p>
      <w:pPr>
        <w:pStyle w:val="23"/>
        <w:spacing w:line="510" w:lineRule="exact"/>
        <w:ind w:firstLine="640" w:firstLineChars="200"/>
        <w:rPr>
          <w:rFonts w:hint="default" w:ascii="仿宋" w:hAnsi="仿宋" w:eastAsia="仿宋" w:cs="仿宋"/>
          <w:bCs/>
          <w:kern w:val="2"/>
          <w:sz w:val="32"/>
          <w:szCs w:val="32"/>
          <w:lang w:val="en-US" w:eastAsia="zh-CN" w:bidi="ar-SA"/>
        </w:rPr>
      </w:pPr>
      <w:r>
        <w:rPr>
          <w:rFonts w:hint="eastAsia" w:ascii="仿宋" w:hAnsi="仿宋" w:eastAsia="仿宋" w:cs="仿宋"/>
          <w:bCs/>
          <w:kern w:val="2"/>
          <w:sz w:val="32"/>
          <w:szCs w:val="32"/>
          <w:lang w:val="en-US" w:eastAsia="zh-CN" w:bidi="ar-SA"/>
        </w:rPr>
        <w:t>3.规范绩效评价管理资料的收集整理，确保相关信息完整、可靠，客观公正地反映项目资金实际使用和产生的绩效状况。</w:t>
      </w:r>
    </w:p>
    <w:p>
      <w:pPr>
        <w:pStyle w:val="23"/>
        <w:numPr>
          <w:ilvl w:val="0"/>
          <w:numId w:val="1"/>
        </w:numPr>
        <w:spacing w:line="510" w:lineRule="exact"/>
        <w:ind w:left="800" w:leftChars="0" w:firstLine="0" w:firstLineChars="0"/>
        <w:rPr>
          <w:rFonts w:ascii="Times New Roman" w:hAnsi="Times New Roman" w:eastAsia="楷体"/>
          <w:b/>
          <w:sz w:val="32"/>
          <w:szCs w:val="32"/>
        </w:rPr>
      </w:pPr>
      <w:r>
        <w:rPr>
          <w:rFonts w:ascii="Times New Roman" w:hAnsi="Times New Roman" w:eastAsia="楷体"/>
          <w:b/>
          <w:sz w:val="32"/>
          <w:szCs w:val="32"/>
        </w:rPr>
        <w:t>其他需要说明的问题</w:t>
      </w:r>
    </w:p>
    <w:p>
      <w:pPr>
        <w:pStyle w:val="23"/>
        <w:numPr>
          <w:ilvl w:val="0"/>
          <w:numId w:val="0"/>
        </w:numPr>
        <w:spacing w:line="510" w:lineRule="exact"/>
        <w:ind w:left="800" w:leftChars="0" w:firstLine="1280" w:firstLineChars="400"/>
        <w:rPr>
          <w:rFonts w:ascii="Times New Roman" w:hAnsi="Times New Roman" w:eastAsia="仿宋_GB2312"/>
          <w:sz w:val="32"/>
          <w:szCs w:val="32"/>
        </w:rPr>
      </w:pPr>
      <w:r>
        <w:rPr>
          <w:rFonts w:hint="eastAsia" w:ascii="Times New Roman" w:hAnsi="Times New Roman" w:eastAsia="仿宋"/>
          <w:sz w:val="32"/>
          <w:szCs w:val="32"/>
        </w:rPr>
        <w:t>无</w:t>
      </w:r>
    </w:p>
    <w:p>
      <w:pPr>
        <w:widowControl/>
        <w:spacing w:line="510" w:lineRule="exact"/>
        <w:jc w:val="left"/>
        <w:rPr>
          <w:rFonts w:ascii="Times New Roman" w:hAnsi="Times New Roman" w:eastAsia="仿宋_GB2312"/>
          <w:sz w:val="32"/>
          <w:szCs w:val="32"/>
        </w:rPr>
      </w:pPr>
    </w:p>
    <w:p>
      <w:pPr>
        <w:widowControl/>
        <w:spacing w:line="510" w:lineRule="exact"/>
        <w:jc w:val="left"/>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　　　　　　　　　　　　　中方县住房和城乡建设局</w:t>
      </w:r>
    </w:p>
    <w:p>
      <w:pPr>
        <w:pStyle w:val="2"/>
        <w:rPr>
          <w:rFonts w:hint="default"/>
          <w:lang w:val="en-US" w:eastAsia="zh-CN"/>
        </w:rPr>
      </w:pPr>
      <w:r>
        <w:rPr>
          <w:rFonts w:hint="eastAsia" w:ascii="Times New Roman" w:hAnsi="Times New Roman" w:eastAsia="仿宋_GB2312"/>
          <w:sz w:val="32"/>
          <w:szCs w:val="32"/>
          <w:lang w:eastAsia="zh-CN"/>
        </w:rPr>
        <w:t>　　　　　　　　　　　　　</w:t>
      </w:r>
      <w:r>
        <w:rPr>
          <w:rFonts w:hint="eastAsia" w:ascii="Times New Roman" w:hAnsi="Times New Roman" w:eastAsia="仿宋_GB2312"/>
          <w:sz w:val="32"/>
          <w:szCs w:val="32"/>
          <w:lang w:val="en-US" w:eastAsia="zh-CN"/>
        </w:rPr>
        <w:t>2023年7月10日</w:t>
      </w:r>
    </w:p>
    <w:p>
      <w:pPr>
        <w:widowControl/>
        <w:spacing w:line="510" w:lineRule="exact"/>
        <w:jc w:val="left"/>
        <w:rPr>
          <w:rFonts w:ascii="Times New Roman" w:hAnsi="Times New Roman" w:eastAsia="仿宋_GB2312"/>
          <w:sz w:val="32"/>
          <w:szCs w:val="32"/>
        </w:rPr>
      </w:pPr>
    </w:p>
    <w:p>
      <w:pPr>
        <w:widowControl/>
        <w:spacing w:line="510" w:lineRule="exact"/>
        <w:jc w:val="left"/>
        <w:rPr>
          <w:rFonts w:ascii="Times New Roman" w:hAnsi="Times New Roman" w:eastAsia="仿宋_GB2312"/>
          <w:sz w:val="32"/>
          <w:szCs w:val="32"/>
        </w:rPr>
      </w:pPr>
    </w:p>
    <w:p>
      <w:pPr>
        <w:widowControl/>
        <w:spacing w:line="510" w:lineRule="exact"/>
        <w:jc w:val="left"/>
        <w:rPr>
          <w:rFonts w:ascii="Times New Roman" w:hAnsi="Times New Roman" w:eastAsia="仿宋_GB2312"/>
          <w:sz w:val="32"/>
          <w:szCs w:val="32"/>
        </w:rPr>
      </w:pPr>
      <w:r>
        <w:rPr>
          <w:rFonts w:ascii="Times New Roman" w:hAnsi="Times New Roman" w:eastAsia="仿宋_GB2312"/>
          <w:sz w:val="32"/>
          <w:szCs w:val="32"/>
        </w:rPr>
        <w:t>附件：1.项目支出绩效自评表</w:t>
      </w:r>
    </w:p>
    <w:p>
      <w:pPr>
        <w:widowControl/>
        <w:spacing w:line="510" w:lineRule="exact"/>
        <w:ind w:firstLine="960" w:firstLineChars="300"/>
        <w:jc w:val="left"/>
        <w:rPr>
          <w:rFonts w:hint="eastAsia" w:ascii="Times New Roman" w:hAnsi="Times New Roman" w:eastAsia="仿宋_GB2312"/>
          <w:bCs/>
          <w:color w:val="000000"/>
          <w:sz w:val="32"/>
          <w:szCs w:val="32"/>
          <w:lang w:eastAsia="zh-CN"/>
        </w:rPr>
      </w:pPr>
      <w:r>
        <w:rPr>
          <w:rFonts w:ascii="Times New Roman" w:hAnsi="Times New Roman" w:eastAsia="仿宋_GB2312"/>
          <w:sz w:val="32"/>
          <w:szCs w:val="32"/>
        </w:rPr>
        <w:t>2.项目支出绩效评价指标</w:t>
      </w:r>
      <w:r>
        <w:rPr>
          <w:rFonts w:hint="eastAsia" w:ascii="Times New Roman" w:hAnsi="Times New Roman" w:eastAsia="仿宋_GB2312"/>
          <w:bCs/>
          <w:color w:val="000000"/>
          <w:kern w:val="0"/>
          <w:sz w:val="32"/>
          <w:szCs w:val="32"/>
          <w:lang w:eastAsia="zh-CN"/>
        </w:rPr>
        <w:t>体系</w:t>
      </w:r>
    </w:p>
    <w:p>
      <w:pPr>
        <w:spacing w:line="400" w:lineRule="exact"/>
        <w:rPr>
          <w:rFonts w:ascii="Times New Roman" w:hAnsi="Times New Roman" w:eastAsia="仿宋_GB2312"/>
          <w:bCs/>
          <w:color w:val="000000"/>
          <w:sz w:val="32"/>
          <w:szCs w:val="32"/>
        </w:rPr>
      </w:pPr>
    </w:p>
    <w:p>
      <w:pPr>
        <w:spacing w:line="400" w:lineRule="exact"/>
        <w:rPr>
          <w:rFonts w:ascii="Times New Roman" w:hAnsi="Times New Roman" w:eastAsia="仿宋_GB2312"/>
          <w:bCs/>
          <w:color w:val="000000"/>
          <w:sz w:val="32"/>
          <w:szCs w:val="32"/>
        </w:rPr>
      </w:pPr>
    </w:p>
    <w:p>
      <w:pPr>
        <w:spacing w:line="400" w:lineRule="exact"/>
        <w:rPr>
          <w:rFonts w:ascii="Times New Roman" w:hAnsi="Times New Roman" w:eastAsia="仿宋_GB2312"/>
          <w:bCs/>
          <w:color w:val="000000"/>
          <w:sz w:val="32"/>
          <w:szCs w:val="32"/>
        </w:rPr>
      </w:pPr>
    </w:p>
    <w:p>
      <w:pPr>
        <w:spacing w:line="400" w:lineRule="exact"/>
        <w:rPr>
          <w:rFonts w:ascii="Times New Roman" w:hAnsi="Times New Roman" w:eastAsia="仿宋_GB2312"/>
          <w:bCs/>
          <w:color w:val="000000"/>
          <w:sz w:val="21"/>
          <w:szCs w:val="21"/>
        </w:rPr>
      </w:pPr>
    </w:p>
    <w:p>
      <w:pPr>
        <w:spacing w:line="400" w:lineRule="exact"/>
        <w:rPr>
          <w:rFonts w:ascii="Times New Roman" w:hAnsi="Times New Roman" w:eastAsia="仿宋_GB2312"/>
          <w:bCs/>
          <w:color w:val="000000"/>
          <w:sz w:val="24"/>
          <w:szCs w:val="24"/>
        </w:rPr>
      </w:pPr>
      <w:r>
        <w:rPr>
          <w:rFonts w:ascii="Times New Roman" w:hAnsi="Times New Roman" w:eastAsia="仿宋_GB2312"/>
          <w:bCs/>
          <w:color w:val="000000"/>
          <w:sz w:val="24"/>
          <w:szCs w:val="24"/>
        </w:rPr>
        <w:t>附件</w:t>
      </w:r>
      <w:r>
        <w:rPr>
          <w:rFonts w:hint="eastAsia" w:ascii="Times New Roman" w:hAnsi="Times New Roman" w:eastAsia="仿宋_GB2312"/>
          <w:bCs/>
          <w:color w:val="000000"/>
          <w:sz w:val="24"/>
          <w:szCs w:val="24"/>
        </w:rPr>
        <w:t>1</w:t>
      </w:r>
    </w:p>
    <w:tbl>
      <w:tblPr>
        <w:tblStyle w:val="9"/>
        <w:tblW w:w="9137" w:type="dxa"/>
        <w:jc w:val="center"/>
        <w:tblLayout w:type="fixed"/>
        <w:tblCellMar>
          <w:top w:w="0" w:type="dxa"/>
          <w:left w:w="108" w:type="dxa"/>
          <w:bottom w:w="0" w:type="dxa"/>
          <w:right w:w="108" w:type="dxa"/>
        </w:tblCellMar>
      </w:tblPr>
      <w:tblGrid>
        <w:gridCol w:w="588"/>
        <w:gridCol w:w="980"/>
        <w:gridCol w:w="1112"/>
        <w:gridCol w:w="730"/>
        <w:gridCol w:w="1134"/>
        <w:gridCol w:w="284"/>
        <w:gridCol w:w="978"/>
        <w:gridCol w:w="945"/>
        <w:gridCol w:w="61"/>
        <w:gridCol w:w="559"/>
        <w:gridCol w:w="150"/>
        <w:gridCol w:w="437"/>
        <w:gridCol w:w="414"/>
        <w:gridCol w:w="708"/>
        <w:gridCol w:w="57"/>
      </w:tblGrid>
      <w:tr>
        <w:tblPrEx>
          <w:tblCellMar>
            <w:top w:w="0" w:type="dxa"/>
            <w:left w:w="108" w:type="dxa"/>
            <w:bottom w:w="0" w:type="dxa"/>
            <w:right w:w="108" w:type="dxa"/>
          </w:tblCellMar>
        </w:tblPrEx>
        <w:trPr>
          <w:gridAfter w:val="1"/>
          <w:wAfter w:w="57" w:type="dxa"/>
          <w:trHeight w:val="549" w:hRule="exact"/>
          <w:jc w:val="center"/>
        </w:trPr>
        <w:tc>
          <w:tcPr>
            <w:tcW w:w="9080" w:type="dxa"/>
            <w:gridSpan w:val="14"/>
            <w:tcBorders>
              <w:top w:val="nil"/>
              <w:left w:val="nil"/>
              <w:bottom w:val="nil"/>
              <w:right w:val="nil"/>
            </w:tcBorders>
            <w:vAlign w:val="center"/>
          </w:tcPr>
          <w:p>
            <w:pPr>
              <w:widowControl/>
              <w:spacing w:line="320" w:lineRule="exact"/>
              <w:jc w:val="center"/>
              <w:rPr>
                <w:rFonts w:ascii="Times New Roman" w:hAnsi="Times New Roman"/>
                <w:b/>
                <w:bCs/>
                <w:kern w:val="0"/>
                <w:sz w:val="24"/>
                <w:szCs w:val="24"/>
              </w:rPr>
            </w:pPr>
            <w:r>
              <w:rPr>
                <w:rFonts w:ascii="Times New Roman" w:hAnsi="Times New Roman"/>
                <w:b/>
                <w:bCs/>
                <w:kern w:val="0"/>
                <w:sz w:val="24"/>
                <w:szCs w:val="24"/>
              </w:rPr>
              <w:t>项目支出绩效自评表</w:t>
            </w:r>
          </w:p>
        </w:tc>
      </w:tr>
      <w:tr>
        <w:tblPrEx>
          <w:tblCellMar>
            <w:top w:w="0" w:type="dxa"/>
            <w:left w:w="108" w:type="dxa"/>
            <w:bottom w:w="0" w:type="dxa"/>
            <w:right w:w="108" w:type="dxa"/>
          </w:tblCellMar>
        </w:tblPrEx>
        <w:trPr>
          <w:gridAfter w:val="1"/>
          <w:wAfter w:w="57" w:type="dxa"/>
          <w:trHeight w:val="201" w:hRule="atLeast"/>
          <w:jc w:val="center"/>
        </w:trPr>
        <w:tc>
          <w:tcPr>
            <w:tcW w:w="9080" w:type="dxa"/>
            <w:gridSpan w:val="14"/>
            <w:tcBorders>
              <w:top w:val="nil"/>
              <w:left w:val="nil"/>
              <w:bottom w:val="nil"/>
              <w:right w:val="nil"/>
            </w:tcBorders>
          </w:tcPr>
          <w:p>
            <w:pPr>
              <w:widowControl/>
              <w:jc w:val="center"/>
              <w:rPr>
                <w:rFonts w:ascii="Times New Roman" w:hAnsi="Times New Roman"/>
                <w:kern w:val="0"/>
                <w:sz w:val="24"/>
                <w:szCs w:val="24"/>
              </w:rPr>
            </w:pPr>
            <w:r>
              <w:rPr>
                <w:rFonts w:ascii="Times New Roman" w:hAnsi="Times New Roman"/>
                <w:kern w:val="0"/>
                <w:sz w:val="24"/>
                <w:szCs w:val="24"/>
              </w:rPr>
              <w:t>（20</w:t>
            </w:r>
            <w:r>
              <w:rPr>
                <w:rFonts w:hint="eastAsia" w:ascii="Times New Roman" w:hAnsi="Times New Roman"/>
                <w:kern w:val="0"/>
                <w:sz w:val="24"/>
                <w:szCs w:val="24"/>
                <w:lang w:val="en-US" w:eastAsia="zh-CN"/>
              </w:rPr>
              <w:t>22</w:t>
            </w:r>
            <w:r>
              <w:rPr>
                <w:rFonts w:ascii="Times New Roman" w:hAnsi="Times New Roman"/>
                <w:kern w:val="0"/>
                <w:sz w:val="24"/>
                <w:szCs w:val="24"/>
              </w:rPr>
              <w:t>年度）</w:t>
            </w:r>
          </w:p>
        </w:tc>
      </w:tr>
      <w:tr>
        <w:tblPrEx>
          <w:tblCellMar>
            <w:top w:w="0" w:type="dxa"/>
            <w:left w:w="108" w:type="dxa"/>
            <w:bottom w:w="0" w:type="dxa"/>
            <w:right w:w="108" w:type="dxa"/>
          </w:tblCellMar>
        </w:tblPrEx>
        <w:trPr>
          <w:gridAfter w:val="1"/>
          <w:wAfter w:w="57" w:type="dxa"/>
          <w:trHeight w:val="34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lang w:eastAsia="zh-CN"/>
              </w:rPr>
            </w:pPr>
            <w:r>
              <w:rPr>
                <w:rFonts w:hint="eastAsia" w:ascii="Calibri" w:hAnsi="Calibri" w:eastAsia="宋体" w:cs="Times New Roman"/>
                <w:color w:val="000000"/>
                <w:kern w:val="0"/>
                <w:sz w:val="22"/>
                <w:szCs w:val="22"/>
                <w:lang w:val="en-US" w:eastAsia="zh-CN"/>
              </w:rPr>
              <w:t>2022年度</w:t>
            </w:r>
            <w:r>
              <w:rPr>
                <w:rFonts w:hint="eastAsia" w:ascii="Calibri" w:hAnsi="Calibri" w:eastAsia="宋体" w:cs="Times New Roman"/>
                <w:color w:val="000000"/>
                <w:kern w:val="0"/>
                <w:sz w:val="22"/>
                <w:szCs w:val="22"/>
                <w:lang w:eastAsia="zh-CN"/>
              </w:rPr>
              <w:t>自收自支人员和住建专项资金</w:t>
            </w:r>
          </w:p>
        </w:tc>
      </w:tr>
      <w:tr>
        <w:tblPrEx>
          <w:tblCellMar>
            <w:top w:w="0" w:type="dxa"/>
            <w:left w:w="108" w:type="dxa"/>
            <w:bottom w:w="0" w:type="dxa"/>
            <w:right w:w="108" w:type="dxa"/>
          </w:tblCellMar>
        </w:tblPrEx>
        <w:trPr>
          <w:gridAfter w:val="1"/>
          <w:wAfter w:w="57" w:type="dxa"/>
          <w:trHeight w:val="68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主管部门</w:t>
            </w:r>
          </w:p>
        </w:tc>
        <w:tc>
          <w:tcPr>
            <w:tcW w:w="4238" w:type="dxa"/>
            <w:gridSpan w:val="5"/>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中方县住房和城乡建设局</w:t>
            </w:r>
          </w:p>
        </w:tc>
        <w:tc>
          <w:tcPr>
            <w:tcW w:w="1006" w:type="dxa"/>
            <w:gridSpan w:val="2"/>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中方县住房和城乡建设局</w:t>
            </w:r>
          </w:p>
        </w:tc>
      </w:tr>
      <w:tr>
        <w:tblPrEx>
          <w:tblCellMar>
            <w:top w:w="0" w:type="dxa"/>
            <w:left w:w="108" w:type="dxa"/>
            <w:bottom w:w="0" w:type="dxa"/>
            <w:right w:w="108" w:type="dxa"/>
          </w:tblCellMar>
        </w:tblPrEx>
        <w:trPr>
          <w:gridAfter w:val="1"/>
          <w:wAfter w:w="57" w:type="dxa"/>
          <w:trHeight w:val="606"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lang w:eastAsia="zh-CN"/>
              </w:rPr>
            </w:pPr>
            <w:r>
              <w:rPr>
                <w:rFonts w:ascii="Calibri" w:hAnsi="Calibri" w:eastAsia="宋体" w:cs="Times New Roman"/>
                <w:color w:val="000000"/>
                <w:kern w:val="0"/>
                <w:sz w:val="22"/>
                <w:szCs w:val="22"/>
              </w:rPr>
              <w:t>项目资金</w:t>
            </w:r>
          </w:p>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1134" w:type="dxa"/>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年初预算数</w:t>
            </w:r>
          </w:p>
        </w:tc>
        <w:tc>
          <w:tcPr>
            <w:tcW w:w="1262" w:type="dxa"/>
            <w:gridSpan w:val="2"/>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全年预算数（A）</w:t>
            </w:r>
          </w:p>
        </w:tc>
        <w:tc>
          <w:tcPr>
            <w:tcW w:w="1006" w:type="dxa"/>
            <w:gridSpan w:val="2"/>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全年执行数（B）</w:t>
            </w:r>
          </w:p>
        </w:tc>
        <w:tc>
          <w:tcPr>
            <w:tcW w:w="709" w:type="dxa"/>
            <w:gridSpan w:val="2"/>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执行率（B/A)</w:t>
            </w:r>
          </w:p>
        </w:tc>
        <w:tc>
          <w:tcPr>
            <w:tcW w:w="708" w:type="dxa"/>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得分</w:t>
            </w:r>
          </w:p>
        </w:tc>
      </w:tr>
      <w:tr>
        <w:tblPrEx>
          <w:tblCellMar>
            <w:top w:w="0" w:type="dxa"/>
            <w:left w:w="108" w:type="dxa"/>
            <w:bottom w:w="0" w:type="dxa"/>
            <w:right w:w="108" w:type="dxa"/>
          </w:tblCellMar>
        </w:tblPrEx>
        <w:trPr>
          <w:gridAfter w:val="1"/>
          <w:wAfter w:w="57" w:type="dxa"/>
          <w:trHeight w:val="465"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年度资金总额</w:t>
            </w:r>
          </w:p>
        </w:tc>
        <w:tc>
          <w:tcPr>
            <w:tcW w:w="1134" w:type="dxa"/>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132.8</w:t>
            </w:r>
          </w:p>
        </w:tc>
        <w:tc>
          <w:tcPr>
            <w:tcW w:w="1262" w:type="dxa"/>
            <w:gridSpan w:val="2"/>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132.8</w:t>
            </w:r>
          </w:p>
        </w:tc>
        <w:tc>
          <w:tcPr>
            <w:tcW w:w="1006" w:type="dxa"/>
            <w:gridSpan w:val="2"/>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121.76</w:t>
            </w:r>
          </w:p>
        </w:tc>
        <w:tc>
          <w:tcPr>
            <w:tcW w:w="709" w:type="dxa"/>
            <w:gridSpan w:val="2"/>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96%</w:t>
            </w:r>
          </w:p>
        </w:tc>
        <w:tc>
          <w:tcPr>
            <w:tcW w:w="708" w:type="dxa"/>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9</w:t>
            </w:r>
          </w:p>
        </w:tc>
      </w:tr>
      <w:tr>
        <w:tblPrEx>
          <w:tblCellMar>
            <w:top w:w="0" w:type="dxa"/>
            <w:left w:w="108" w:type="dxa"/>
            <w:bottom w:w="0" w:type="dxa"/>
            <w:right w:w="108" w:type="dxa"/>
          </w:tblCellMar>
        </w:tblPrEx>
        <w:trPr>
          <w:gridAfter w:val="1"/>
          <w:wAfter w:w="57" w:type="dxa"/>
          <w:trHeight w:val="4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其中：当年财政拨款</w:t>
            </w:r>
          </w:p>
        </w:tc>
        <w:tc>
          <w:tcPr>
            <w:tcW w:w="1134" w:type="dxa"/>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1262" w:type="dxa"/>
            <w:gridSpan w:val="2"/>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1006" w:type="dxa"/>
            <w:gridSpan w:val="2"/>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709" w:type="dxa"/>
            <w:gridSpan w:val="2"/>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708" w:type="dxa"/>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w:t>
            </w:r>
          </w:p>
        </w:tc>
      </w:tr>
      <w:tr>
        <w:tblPrEx>
          <w:tblCellMar>
            <w:top w:w="0" w:type="dxa"/>
            <w:left w:w="108" w:type="dxa"/>
            <w:bottom w:w="0" w:type="dxa"/>
            <w:right w:w="108" w:type="dxa"/>
          </w:tblCellMar>
        </w:tblPrEx>
        <w:trPr>
          <w:gridAfter w:val="1"/>
          <w:wAfter w:w="57" w:type="dxa"/>
          <w:trHeight w:val="51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1262" w:type="dxa"/>
            <w:gridSpan w:val="2"/>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1006" w:type="dxa"/>
            <w:gridSpan w:val="2"/>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709" w:type="dxa"/>
            <w:gridSpan w:val="2"/>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708" w:type="dxa"/>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w:t>
            </w:r>
          </w:p>
        </w:tc>
      </w:tr>
      <w:tr>
        <w:tblPrEx>
          <w:tblCellMar>
            <w:top w:w="0" w:type="dxa"/>
            <w:left w:w="108" w:type="dxa"/>
            <w:bottom w:w="0" w:type="dxa"/>
            <w:right w:w="108" w:type="dxa"/>
          </w:tblCellMar>
        </w:tblPrEx>
        <w:trPr>
          <w:gridAfter w:val="1"/>
          <w:wAfter w:w="57" w:type="dxa"/>
          <w:trHeight w:val="43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 xml:space="preserve">  其他资金</w:t>
            </w:r>
          </w:p>
        </w:tc>
        <w:tc>
          <w:tcPr>
            <w:tcW w:w="1134" w:type="dxa"/>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1262" w:type="dxa"/>
            <w:gridSpan w:val="2"/>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1006" w:type="dxa"/>
            <w:gridSpan w:val="2"/>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709" w:type="dxa"/>
            <w:gridSpan w:val="2"/>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708" w:type="dxa"/>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w:t>
            </w:r>
          </w:p>
        </w:tc>
      </w:tr>
      <w:tr>
        <w:tblPrEx>
          <w:tblCellMar>
            <w:top w:w="0" w:type="dxa"/>
            <w:left w:w="108" w:type="dxa"/>
            <w:bottom w:w="0" w:type="dxa"/>
            <w:right w:w="108" w:type="dxa"/>
          </w:tblCellMar>
        </w:tblPrEx>
        <w:trPr>
          <w:gridAfter w:val="1"/>
          <w:wAfter w:w="57" w:type="dxa"/>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年度总体目标</w:t>
            </w:r>
          </w:p>
        </w:tc>
        <w:tc>
          <w:tcPr>
            <w:tcW w:w="5218" w:type="dxa"/>
            <w:gridSpan w:val="6"/>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预期目标</w:t>
            </w:r>
          </w:p>
        </w:tc>
        <w:tc>
          <w:tcPr>
            <w:tcW w:w="3274" w:type="dxa"/>
            <w:gridSpan w:val="7"/>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实际完成情况</w:t>
            </w:r>
          </w:p>
        </w:tc>
      </w:tr>
      <w:tr>
        <w:tblPrEx>
          <w:tblCellMar>
            <w:top w:w="0" w:type="dxa"/>
            <w:left w:w="108" w:type="dxa"/>
            <w:bottom w:w="0" w:type="dxa"/>
            <w:right w:w="108" w:type="dxa"/>
          </w:tblCellMar>
        </w:tblPrEx>
        <w:trPr>
          <w:gridAfter w:val="1"/>
          <w:wAfter w:w="57" w:type="dxa"/>
          <w:trHeight w:val="570"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5218" w:type="dxa"/>
            <w:gridSpan w:val="6"/>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根据工作需要及时完成</w:t>
            </w:r>
          </w:p>
        </w:tc>
        <w:tc>
          <w:tcPr>
            <w:tcW w:w="3274" w:type="dxa"/>
            <w:gridSpan w:val="7"/>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完成100%</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lang w:eastAsia="zh-CN"/>
              </w:rPr>
            </w:pPr>
            <w:r>
              <w:rPr>
                <w:rFonts w:ascii="Calibri" w:hAnsi="Calibri" w:eastAsia="宋体" w:cs="Times New Roman"/>
                <w:color w:val="000000"/>
                <w:kern w:val="0"/>
                <w:sz w:val="22"/>
                <w:szCs w:val="22"/>
              </w:rPr>
              <w:t>绩</w:t>
            </w:r>
          </w:p>
          <w:p>
            <w:pPr>
              <w:widowControl/>
              <w:spacing w:line="0" w:lineRule="atLeast"/>
              <w:jc w:val="left"/>
              <w:rPr>
                <w:rFonts w:hint="eastAsia" w:ascii="Calibri" w:hAnsi="Calibri" w:eastAsia="宋体" w:cs="Times New Roman"/>
                <w:color w:val="000000"/>
                <w:kern w:val="0"/>
                <w:sz w:val="22"/>
                <w:szCs w:val="22"/>
                <w:lang w:eastAsia="zh-CN"/>
              </w:rPr>
            </w:pPr>
            <w:r>
              <w:rPr>
                <w:rFonts w:ascii="Calibri" w:hAnsi="Calibri" w:eastAsia="宋体" w:cs="Times New Roman"/>
                <w:color w:val="000000"/>
                <w:kern w:val="0"/>
                <w:sz w:val="22"/>
                <w:szCs w:val="22"/>
              </w:rPr>
              <w:t>效</w:t>
            </w:r>
          </w:p>
          <w:p>
            <w:pPr>
              <w:widowControl/>
              <w:spacing w:line="0" w:lineRule="atLeast"/>
              <w:jc w:val="left"/>
              <w:rPr>
                <w:rFonts w:hint="eastAsia" w:ascii="Calibri" w:hAnsi="Calibri" w:eastAsia="宋体" w:cs="Times New Roman"/>
                <w:color w:val="000000"/>
                <w:kern w:val="0"/>
                <w:sz w:val="22"/>
                <w:szCs w:val="22"/>
                <w:lang w:eastAsia="zh-CN"/>
              </w:rPr>
            </w:pPr>
            <w:r>
              <w:rPr>
                <w:rFonts w:ascii="Calibri" w:hAnsi="Calibri" w:eastAsia="宋体" w:cs="Times New Roman"/>
                <w:color w:val="000000"/>
                <w:kern w:val="0"/>
                <w:sz w:val="22"/>
                <w:szCs w:val="22"/>
              </w:rPr>
              <w:t>指</w:t>
            </w:r>
          </w:p>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标</w:t>
            </w:r>
          </w:p>
        </w:tc>
        <w:tc>
          <w:tcPr>
            <w:tcW w:w="980" w:type="dxa"/>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一级指标</w:t>
            </w:r>
          </w:p>
        </w:tc>
        <w:tc>
          <w:tcPr>
            <w:tcW w:w="1112" w:type="dxa"/>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三级指标</w:t>
            </w:r>
          </w:p>
        </w:tc>
        <w:tc>
          <w:tcPr>
            <w:tcW w:w="978" w:type="dxa"/>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年度</w:t>
            </w:r>
          </w:p>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指标值</w:t>
            </w:r>
          </w:p>
        </w:tc>
        <w:tc>
          <w:tcPr>
            <w:tcW w:w="945" w:type="dxa"/>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实际</w:t>
            </w:r>
          </w:p>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完成值</w:t>
            </w:r>
          </w:p>
        </w:tc>
        <w:tc>
          <w:tcPr>
            <w:tcW w:w="620" w:type="dxa"/>
            <w:gridSpan w:val="2"/>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分值</w:t>
            </w:r>
          </w:p>
        </w:tc>
        <w:tc>
          <w:tcPr>
            <w:tcW w:w="587" w:type="dxa"/>
            <w:gridSpan w:val="2"/>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得分</w:t>
            </w:r>
          </w:p>
        </w:tc>
        <w:tc>
          <w:tcPr>
            <w:tcW w:w="1179"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偏差原因分析及改进措施</w:t>
            </w:r>
          </w:p>
        </w:tc>
      </w:tr>
      <w:tr>
        <w:tblPrEx>
          <w:tblCellMar>
            <w:top w:w="0" w:type="dxa"/>
            <w:left w:w="108" w:type="dxa"/>
            <w:bottom w:w="0" w:type="dxa"/>
            <w:right w:w="108" w:type="dxa"/>
          </w:tblCellMar>
        </w:tblPrEx>
        <w:trPr>
          <w:trHeight w:val="593" w:hRule="exact"/>
          <w:jc w:val="center"/>
        </w:trPr>
        <w:tc>
          <w:tcPr>
            <w:tcW w:w="588" w:type="dxa"/>
            <w:vMerge w:val="continue"/>
            <w:tcBorders>
              <w:left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产出指标(50分)</w:t>
            </w:r>
          </w:p>
        </w:tc>
        <w:tc>
          <w:tcPr>
            <w:tcW w:w="1112" w:type="dxa"/>
            <w:vMerge w:val="restart"/>
            <w:tcBorders>
              <w:top w:val="nil"/>
              <w:left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lang w:eastAsia="zh-CN"/>
              </w:rPr>
            </w:pPr>
            <w:r>
              <w:rPr>
                <w:rFonts w:hint="eastAsia" w:ascii="Calibri" w:hAnsi="Calibri" w:eastAsia="宋体" w:cs="Times New Roman"/>
                <w:color w:val="000000"/>
                <w:kern w:val="0"/>
                <w:sz w:val="22"/>
                <w:szCs w:val="22"/>
                <w:lang w:eastAsia="zh-CN"/>
              </w:rPr>
              <w:t>自收自支人员和住建专项资金</w:t>
            </w:r>
          </w:p>
        </w:tc>
        <w:tc>
          <w:tcPr>
            <w:tcW w:w="978" w:type="dxa"/>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132.8</w:t>
            </w:r>
          </w:p>
        </w:tc>
        <w:tc>
          <w:tcPr>
            <w:tcW w:w="945" w:type="dxa"/>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121.76</w:t>
            </w:r>
          </w:p>
        </w:tc>
        <w:tc>
          <w:tcPr>
            <w:tcW w:w="620" w:type="dxa"/>
            <w:gridSpan w:val="2"/>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cs="Times New Roman"/>
                <w:color w:val="000000"/>
                <w:kern w:val="0"/>
                <w:sz w:val="22"/>
                <w:szCs w:val="22"/>
                <w:lang w:val="en-US" w:eastAsia="zh-CN"/>
              </w:rPr>
              <w:t>10</w:t>
            </w:r>
          </w:p>
        </w:tc>
        <w:tc>
          <w:tcPr>
            <w:tcW w:w="587" w:type="dxa"/>
            <w:gridSpan w:val="2"/>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cs="Times New Roman"/>
                <w:color w:val="000000"/>
                <w:kern w:val="0"/>
                <w:sz w:val="22"/>
                <w:szCs w:val="22"/>
                <w:lang w:val="en-US" w:eastAsia="zh-CN"/>
              </w:rPr>
              <w:t>9</w:t>
            </w:r>
          </w:p>
        </w:tc>
        <w:tc>
          <w:tcPr>
            <w:tcW w:w="1179"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r>
      <w:tr>
        <w:tblPrEx>
          <w:tblCellMar>
            <w:top w:w="0" w:type="dxa"/>
            <w:left w:w="108" w:type="dxa"/>
            <w:bottom w:w="0" w:type="dxa"/>
            <w:right w:w="108" w:type="dxa"/>
          </w:tblCellMar>
        </w:tblPrEx>
        <w:trPr>
          <w:trHeight w:val="435" w:hRule="exact"/>
          <w:jc w:val="center"/>
        </w:trPr>
        <w:tc>
          <w:tcPr>
            <w:tcW w:w="588" w:type="dxa"/>
            <w:vMerge w:val="continue"/>
            <w:tcBorders>
              <w:left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1112" w:type="dxa"/>
            <w:vMerge w:val="continue"/>
            <w:tcBorders>
              <w:left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lang w:val="en-US" w:eastAsia="zh-CN"/>
              </w:rPr>
            </w:pPr>
          </w:p>
        </w:tc>
        <w:tc>
          <w:tcPr>
            <w:tcW w:w="978" w:type="dxa"/>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p>
        </w:tc>
        <w:tc>
          <w:tcPr>
            <w:tcW w:w="945" w:type="dxa"/>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p>
        </w:tc>
        <w:tc>
          <w:tcPr>
            <w:tcW w:w="620" w:type="dxa"/>
            <w:gridSpan w:val="2"/>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587" w:type="dxa"/>
            <w:gridSpan w:val="2"/>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1179"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lang w:eastAsia="zh-CN"/>
              </w:rPr>
            </w:pPr>
            <w:r>
              <w:rPr>
                <w:rFonts w:hint="eastAsia" w:ascii="Calibri" w:hAnsi="Calibri" w:eastAsia="宋体" w:cs="Times New Roman"/>
                <w:color w:val="000000"/>
                <w:kern w:val="0"/>
                <w:sz w:val="22"/>
                <w:szCs w:val="22"/>
                <w:lang w:eastAsia="zh-CN"/>
              </w:rPr>
              <w:t>非税收入完成率</w:t>
            </w:r>
          </w:p>
        </w:tc>
        <w:tc>
          <w:tcPr>
            <w:tcW w:w="978" w:type="dxa"/>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100%</w:t>
            </w:r>
          </w:p>
        </w:tc>
        <w:tc>
          <w:tcPr>
            <w:tcW w:w="945" w:type="dxa"/>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95%</w:t>
            </w:r>
          </w:p>
        </w:tc>
        <w:tc>
          <w:tcPr>
            <w:tcW w:w="620" w:type="dxa"/>
            <w:gridSpan w:val="2"/>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10</w:t>
            </w:r>
          </w:p>
        </w:tc>
        <w:tc>
          <w:tcPr>
            <w:tcW w:w="587" w:type="dxa"/>
            <w:gridSpan w:val="2"/>
            <w:tcBorders>
              <w:top w:val="nil"/>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9</w:t>
            </w:r>
          </w:p>
        </w:tc>
        <w:tc>
          <w:tcPr>
            <w:tcW w:w="1179"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lang w:eastAsia="zh-CN"/>
              </w:rPr>
            </w:pPr>
          </w:p>
        </w:tc>
        <w:tc>
          <w:tcPr>
            <w:tcW w:w="978" w:type="dxa"/>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p>
        </w:tc>
        <w:tc>
          <w:tcPr>
            <w:tcW w:w="945" w:type="dxa"/>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p>
        </w:tc>
        <w:tc>
          <w:tcPr>
            <w:tcW w:w="620" w:type="dxa"/>
            <w:gridSpan w:val="2"/>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587" w:type="dxa"/>
            <w:gridSpan w:val="2"/>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1179"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lang w:eastAsia="zh-CN"/>
              </w:rPr>
            </w:pPr>
          </w:p>
        </w:tc>
        <w:tc>
          <w:tcPr>
            <w:tcW w:w="978" w:type="dxa"/>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p>
        </w:tc>
        <w:tc>
          <w:tcPr>
            <w:tcW w:w="945" w:type="dxa"/>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p>
        </w:tc>
        <w:tc>
          <w:tcPr>
            <w:tcW w:w="620" w:type="dxa"/>
            <w:gridSpan w:val="2"/>
            <w:tcBorders>
              <w:top w:val="nil"/>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lang w:val="en-US" w:eastAsia="zh-CN"/>
              </w:rPr>
            </w:pPr>
          </w:p>
        </w:tc>
        <w:tc>
          <w:tcPr>
            <w:tcW w:w="587" w:type="dxa"/>
            <w:gridSpan w:val="2"/>
            <w:tcBorders>
              <w:top w:val="nil"/>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lang w:val="en-US" w:eastAsia="zh-CN"/>
              </w:rPr>
            </w:pPr>
          </w:p>
        </w:tc>
        <w:tc>
          <w:tcPr>
            <w:tcW w:w="1179"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lang w:eastAsia="zh-CN"/>
              </w:rPr>
            </w:pPr>
            <w:r>
              <w:rPr>
                <w:rFonts w:hint="eastAsia" w:ascii="Calibri" w:hAnsi="Calibri" w:eastAsia="宋体" w:cs="Times New Roman"/>
                <w:color w:val="000000"/>
                <w:kern w:val="0"/>
                <w:sz w:val="22"/>
                <w:szCs w:val="22"/>
                <w:lang w:eastAsia="zh-CN"/>
              </w:rPr>
              <w:t>专项资金到位率</w:t>
            </w:r>
          </w:p>
        </w:tc>
        <w:tc>
          <w:tcPr>
            <w:tcW w:w="978" w:type="dxa"/>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100%</w:t>
            </w:r>
          </w:p>
        </w:tc>
        <w:tc>
          <w:tcPr>
            <w:tcW w:w="945" w:type="dxa"/>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100%</w:t>
            </w:r>
          </w:p>
        </w:tc>
        <w:tc>
          <w:tcPr>
            <w:tcW w:w="620" w:type="dxa"/>
            <w:gridSpan w:val="2"/>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10</w:t>
            </w:r>
          </w:p>
        </w:tc>
        <w:tc>
          <w:tcPr>
            <w:tcW w:w="587" w:type="dxa"/>
            <w:gridSpan w:val="2"/>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9</w:t>
            </w:r>
          </w:p>
        </w:tc>
        <w:tc>
          <w:tcPr>
            <w:tcW w:w="1179"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lang w:eastAsia="zh-CN"/>
              </w:rPr>
            </w:pPr>
            <w:r>
              <w:rPr>
                <w:rFonts w:hint="eastAsia" w:ascii="Calibri" w:hAnsi="Calibri" w:eastAsia="宋体" w:cs="Times New Roman"/>
                <w:color w:val="000000"/>
                <w:kern w:val="0"/>
                <w:sz w:val="22"/>
                <w:szCs w:val="22"/>
                <w:lang w:eastAsia="zh-CN"/>
              </w:rPr>
              <w:t>专项资金及时支付率</w:t>
            </w:r>
          </w:p>
        </w:tc>
        <w:tc>
          <w:tcPr>
            <w:tcW w:w="978" w:type="dxa"/>
            <w:tcBorders>
              <w:top w:val="nil"/>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lang w:eastAsia="zh-CN"/>
              </w:rPr>
            </w:pPr>
            <w:r>
              <w:rPr>
                <w:rFonts w:hint="eastAsia" w:ascii="Calibri" w:hAnsi="Calibri" w:eastAsia="宋体" w:cs="Times New Roman"/>
                <w:color w:val="000000"/>
                <w:kern w:val="0"/>
                <w:sz w:val="22"/>
                <w:szCs w:val="22"/>
                <w:lang w:eastAsia="zh-CN"/>
              </w:rPr>
              <w:t>及时</w:t>
            </w:r>
          </w:p>
        </w:tc>
        <w:tc>
          <w:tcPr>
            <w:tcW w:w="945" w:type="dxa"/>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lang w:val="en-US" w:eastAsia="zh-CN"/>
              </w:rPr>
              <w:t>及时</w:t>
            </w:r>
          </w:p>
        </w:tc>
        <w:tc>
          <w:tcPr>
            <w:tcW w:w="620" w:type="dxa"/>
            <w:gridSpan w:val="2"/>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10</w:t>
            </w:r>
          </w:p>
        </w:tc>
        <w:tc>
          <w:tcPr>
            <w:tcW w:w="587" w:type="dxa"/>
            <w:gridSpan w:val="2"/>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9</w:t>
            </w:r>
          </w:p>
        </w:tc>
        <w:tc>
          <w:tcPr>
            <w:tcW w:w="1179"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lang w:eastAsia="zh-CN"/>
              </w:rPr>
              <w:t>专项资金支付金额</w:t>
            </w:r>
          </w:p>
        </w:tc>
        <w:tc>
          <w:tcPr>
            <w:tcW w:w="978" w:type="dxa"/>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132.8</w:t>
            </w:r>
          </w:p>
        </w:tc>
        <w:tc>
          <w:tcPr>
            <w:tcW w:w="945" w:type="dxa"/>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121.76</w:t>
            </w:r>
          </w:p>
        </w:tc>
        <w:tc>
          <w:tcPr>
            <w:tcW w:w="620" w:type="dxa"/>
            <w:gridSpan w:val="2"/>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10</w:t>
            </w:r>
          </w:p>
        </w:tc>
        <w:tc>
          <w:tcPr>
            <w:tcW w:w="587" w:type="dxa"/>
            <w:gridSpan w:val="2"/>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9</w:t>
            </w:r>
          </w:p>
        </w:tc>
        <w:tc>
          <w:tcPr>
            <w:tcW w:w="1179"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lang w:eastAsia="zh-CN"/>
              </w:rPr>
            </w:pPr>
          </w:p>
        </w:tc>
        <w:tc>
          <w:tcPr>
            <w:tcW w:w="978" w:type="dxa"/>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p>
        </w:tc>
        <w:tc>
          <w:tcPr>
            <w:tcW w:w="945" w:type="dxa"/>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p>
        </w:tc>
        <w:tc>
          <w:tcPr>
            <w:tcW w:w="620" w:type="dxa"/>
            <w:gridSpan w:val="2"/>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587" w:type="dxa"/>
            <w:gridSpan w:val="2"/>
            <w:tcBorders>
              <w:top w:val="nil"/>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lang w:val="en-US" w:eastAsia="zh-CN"/>
              </w:rPr>
            </w:pPr>
          </w:p>
        </w:tc>
        <w:tc>
          <w:tcPr>
            <w:tcW w:w="1179"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效益指标(30分)</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经济效益</w:t>
            </w:r>
          </w:p>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lang w:eastAsia="zh-CN"/>
              </w:rPr>
            </w:pPr>
          </w:p>
        </w:tc>
        <w:tc>
          <w:tcPr>
            <w:tcW w:w="978" w:type="dxa"/>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p>
        </w:tc>
        <w:tc>
          <w:tcPr>
            <w:tcW w:w="945" w:type="dxa"/>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p>
        </w:tc>
        <w:tc>
          <w:tcPr>
            <w:tcW w:w="620" w:type="dxa"/>
            <w:gridSpan w:val="2"/>
            <w:tcBorders>
              <w:top w:val="nil"/>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lang w:val="en-US" w:eastAsia="zh-CN"/>
              </w:rPr>
            </w:pPr>
          </w:p>
        </w:tc>
        <w:tc>
          <w:tcPr>
            <w:tcW w:w="587" w:type="dxa"/>
            <w:gridSpan w:val="2"/>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p>
        </w:tc>
        <w:tc>
          <w:tcPr>
            <w:tcW w:w="1179"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lang w:eastAsia="zh-CN"/>
              </w:rPr>
            </w:pPr>
          </w:p>
        </w:tc>
        <w:tc>
          <w:tcPr>
            <w:tcW w:w="978" w:type="dxa"/>
            <w:tcBorders>
              <w:top w:val="nil"/>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lang w:eastAsia="zh-CN"/>
              </w:rPr>
            </w:pPr>
          </w:p>
        </w:tc>
        <w:tc>
          <w:tcPr>
            <w:tcW w:w="945" w:type="dxa"/>
            <w:tcBorders>
              <w:top w:val="nil"/>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lang w:eastAsia="zh-CN"/>
              </w:rPr>
            </w:pPr>
          </w:p>
        </w:tc>
        <w:tc>
          <w:tcPr>
            <w:tcW w:w="620" w:type="dxa"/>
            <w:gridSpan w:val="2"/>
            <w:tcBorders>
              <w:top w:val="nil"/>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lang w:val="en-US" w:eastAsia="zh-CN"/>
              </w:rPr>
            </w:pPr>
          </w:p>
        </w:tc>
        <w:tc>
          <w:tcPr>
            <w:tcW w:w="587" w:type="dxa"/>
            <w:gridSpan w:val="2"/>
            <w:tcBorders>
              <w:top w:val="nil"/>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lang w:val="en-US" w:eastAsia="zh-CN"/>
              </w:rPr>
            </w:pPr>
          </w:p>
        </w:tc>
        <w:tc>
          <w:tcPr>
            <w:tcW w:w="1179"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r>
      <w:tr>
        <w:tblPrEx>
          <w:tblCellMar>
            <w:top w:w="0" w:type="dxa"/>
            <w:left w:w="108" w:type="dxa"/>
            <w:bottom w:w="0" w:type="dxa"/>
            <w:right w:w="108" w:type="dxa"/>
          </w:tblCellMar>
        </w:tblPrEx>
        <w:trPr>
          <w:trHeight w:val="615" w:hRule="exact"/>
          <w:jc w:val="center"/>
        </w:trPr>
        <w:tc>
          <w:tcPr>
            <w:tcW w:w="588" w:type="dxa"/>
            <w:vMerge w:val="continue"/>
            <w:tcBorders>
              <w:left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社会效益</w:t>
            </w:r>
          </w:p>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lang w:eastAsia="zh-CN"/>
              </w:rPr>
            </w:pPr>
            <w:r>
              <w:rPr>
                <w:rFonts w:hint="eastAsia" w:ascii="Calibri" w:hAnsi="Calibri" w:eastAsia="宋体" w:cs="Times New Roman"/>
                <w:color w:val="000000"/>
                <w:kern w:val="0"/>
                <w:sz w:val="22"/>
                <w:szCs w:val="22"/>
                <w:lang w:eastAsia="zh-CN"/>
              </w:rPr>
              <w:t>保障全县住房安全工作有序进行</w:t>
            </w:r>
          </w:p>
        </w:tc>
        <w:tc>
          <w:tcPr>
            <w:tcW w:w="978" w:type="dxa"/>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是否有利</w:t>
            </w:r>
          </w:p>
        </w:tc>
        <w:tc>
          <w:tcPr>
            <w:tcW w:w="945" w:type="dxa"/>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有利</w:t>
            </w:r>
          </w:p>
        </w:tc>
        <w:tc>
          <w:tcPr>
            <w:tcW w:w="620" w:type="dxa"/>
            <w:gridSpan w:val="2"/>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1</w:t>
            </w:r>
            <w:r>
              <w:rPr>
                <w:rFonts w:hint="eastAsia" w:cs="Times New Roman"/>
                <w:color w:val="000000"/>
                <w:kern w:val="0"/>
                <w:sz w:val="22"/>
                <w:szCs w:val="22"/>
                <w:lang w:val="en-US" w:eastAsia="zh-CN"/>
              </w:rPr>
              <w:t>5</w:t>
            </w:r>
          </w:p>
        </w:tc>
        <w:tc>
          <w:tcPr>
            <w:tcW w:w="587" w:type="dxa"/>
            <w:gridSpan w:val="2"/>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1</w:t>
            </w:r>
            <w:r>
              <w:rPr>
                <w:rFonts w:hint="eastAsia" w:cs="Times New Roman"/>
                <w:color w:val="000000"/>
                <w:kern w:val="0"/>
                <w:sz w:val="22"/>
                <w:szCs w:val="22"/>
                <w:lang w:val="en-US" w:eastAsia="zh-CN"/>
              </w:rPr>
              <w:t>5</w:t>
            </w:r>
          </w:p>
        </w:tc>
        <w:tc>
          <w:tcPr>
            <w:tcW w:w="1179"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指标2：</w:t>
            </w:r>
          </w:p>
        </w:tc>
        <w:tc>
          <w:tcPr>
            <w:tcW w:w="978" w:type="dxa"/>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945" w:type="dxa"/>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620" w:type="dxa"/>
            <w:gridSpan w:val="2"/>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587" w:type="dxa"/>
            <w:gridSpan w:val="2"/>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1179"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1112" w:type="dxa"/>
            <w:tcBorders>
              <w:top w:val="nil"/>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生态效益</w:t>
            </w:r>
          </w:p>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指标1：</w:t>
            </w:r>
          </w:p>
        </w:tc>
        <w:tc>
          <w:tcPr>
            <w:tcW w:w="978" w:type="dxa"/>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945" w:type="dxa"/>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620" w:type="dxa"/>
            <w:gridSpan w:val="2"/>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587" w:type="dxa"/>
            <w:gridSpan w:val="2"/>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1179"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r>
      <w:tr>
        <w:tblPrEx>
          <w:tblCellMar>
            <w:top w:w="0" w:type="dxa"/>
            <w:left w:w="108" w:type="dxa"/>
            <w:bottom w:w="0" w:type="dxa"/>
            <w:right w:w="108" w:type="dxa"/>
          </w:tblCellMar>
        </w:tblPrEx>
        <w:trPr>
          <w:trHeight w:val="465" w:hRule="exact"/>
          <w:jc w:val="center"/>
        </w:trPr>
        <w:tc>
          <w:tcPr>
            <w:tcW w:w="588" w:type="dxa"/>
            <w:vMerge w:val="continue"/>
            <w:tcBorders>
              <w:left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lang w:eastAsia="zh-CN"/>
              </w:rPr>
            </w:pPr>
            <w:r>
              <w:rPr>
                <w:rFonts w:hint="eastAsia" w:ascii="Calibri" w:hAnsi="Calibri" w:eastAsia="宋体" w:cs="Times New Roman"/>
                <w:color w:val="000000"/>
                <w:kern w:val="0"/>
                <w:sz w:val="22"/>
                <w:szCs w:val="22"/>
                <w:lang w:eastAsia="zh-CN"/>
              </w:rPr>
              <w:t>使全县安全监督管理工作有序开展</w:t>
            </w:r>
          </w:p>
        </w:tc>
        <w:tc>
          <w:tcPr>
            <w:tcW w:w="978" w:type="dxa"/>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是否有利</w:t>
            </w:r>
          </w:p>
        </w:tc>
        <w:tc>
          <w:tcPr>
            <w:tcW w:w="945" w:type="dxa"/>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有利</w:t>
            </w:r>
          </w:p>
        </w:tc>
        <w:tc>
          <w:tcPr>
            <w:tcW w:w="620" w:type="dxa"/>
            <w:gridSpan w:val="2"/>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1</w:t>
            </w:r>
            <w:r>
              <w:rPr>
                <w:rFonts w:hint="eastAsia" w:cs="Times New Roman"/>
                <w:color w:val="000000"/>
                <w:kern w:val="0"/>
                <w:sz w:val="22"/>
                <w:szCs w:val="22"/>
                <w:lang w:val="en-US" w:eastAsia="zh-CN"/>
              </w:rPr>
              <w:t>5</w:t>
            </w:r>
          </w:p>
        </w:tc>
        <w:tc>
          <w:tcPr>
            <w:tcW w:w="587" w:type="dxa"/>
            <w:gridSpan w:val="2"/>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cs="Times New Roman"/>
                <w:color w:val="000000"/>
                <w:kern w:val="0"/>
                <w:sz w:val="22"/>
                <w:szCs w:val="22"/>
                <w:lang w:val="en-US" w:eastAsia="zh-CN"/>
              </w:rPr>
              <w:t>15</w:t>
            </w:r>
          </w:p>
        </w:tc>
        <w:tc>
          <w:tcPr>
            <w:tcW w:w="1179"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bookmarkStart w:id="0" w:name="_GoBack"/>
            <w:bookmarkEnd w:id="0"/>
          </w:p>
        </w:tc>
      </w:tr>
      <w:tr>
        <w:tblPrEx>
          <w:tblCellMar>
            <w:top w:w="0" w:type="dxa"/>
            <w:left w:w="108" w:type="dxa"/>
            <w:bottom w:w="0" w:type="dxa"/>
            <w:right w:w="108" w:type="dxa"/>
          </w:tblCellMar>
        </w:tblPrEx>
        <w:trPr>
          <w:trHeight w:val="270" w:hRule="exact"/>
          <w:jc w:val="center"/>
        </w:trPr>
        <w:tc>
          <w:tcPr>
            <w:tcW w:w="588" w:type="dxa"/>
            <w:vMerge w:val="continue"/>
            <w:tcBorders>
              <w:left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lang w:eastAsia="zh-CN"/>
              </w:rPr>
            </w:pPr>
          </w:p>
        </w:tc>
        <w:tc>
          <w:tcPr>
            <w:tcW w:w="978" w:type="dxa"/>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945" w:type="dxa"/>
            <w:tcBorders>
              <w:top w:val="nil"/>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lang w:eastAsia="zh-CN"/>
              </w:rPr>
            </w:pPr>
          </w:p>
        </w:tc>
        <w:tc>
          <w:tcPr>
            <w:tcW w:w="620" w:type="dxa"/>
            <w:gridSpan w:val="2"/>
            <w:tcBorders>
              <w:top w:val="nil"/>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lang w:val="en-US" w:eastAsia="zh-CN"/>
              </w:rPr>
            </w:pPr>
          </w:p>
        </w:tc>
        <w:tc>
          <w:tcPr>
            <w:tcW w:w="587" w:type="dxa"/>
            <w:gridSpan w:val="2"/>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p>
        </w:tc>
        <w:tc>
          <w:tcPr>
            <w:tcW w:w="1179"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r>
      <w:tr>
        <w:tblPrEx>
          <w:tblCellMar>
            <w:top w:w="0" w:type="dxa"/>
            <w:left w:w="108" w:type="dxa"/>
            <w:bottom w:w="0" w:type="dxa"/>
            <w:right w:w="108" w:type="dxa"/>
          </w:tblCellMar>
        </w:tblPrEx>
        <w:trPr>
          <w:trHeight w:val="448" w:hRule="exact"/>
          <w:jc w:val="center"/>
        </w:trPr>
        <w:tc>
          <w:tcPr>
            <w:tcW w:w="588" w:type="dxa"/>
            <w:vMerge w:val="continue"/>
            <w:tcBorders>
              <w:left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980" w:type="dxa"/>
            <w:tcBorders>
              <w:top w:val="single" w:color="auto" w:sz="4" w:space="0"/>
              <w:left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满意度</w:t>
            </w:r>
          </w:p>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指标(10分)</w:t>
            </w: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lang w:eastAsia="zh-CN"/>
              </w:rPr>
              <w:t>干部职工</w:t>
            </w:r>
            <w:r>
              <w:rPr>
                <w:rFonts w:hint="eastAsia" w:ascii="Calibri" w:hAnsi="Calibri" w:eastAsia="宋体" w:cs="Times New Roman"/>
                <w:color w:val="000000"/>
                <w:kern w:val="0"/>
                <w:sz w:val="22"/>
                <w:szCs w:val="22"/>
              </w:rPr>
              <w:t>满意度</w:t>
            </w:r>
          </w:p>
        </w:tc>
        <w:tc>
          <w:tcPr>
            <w:tcW w:w="978" w:type="dxa"/>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满意</w:t>
            </w:r>
          </w:p>
        </w:tc>
        <w:tc>
          <w:tcPr>
            <w:tcW w:w="945" w:type="dxa"/>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100%</w:t>
            </w:r>
          </w:p>
        </w:tc>
        <w:tc>
          <w:tcPr>
            <w:tcW w:w="620"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10</w:t>
            </w:r>
          </w:p>
        </w:tc>
        <w:tc>
          <w:tcPr>
            <w:tcW w:w="587"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10</w:t>
            </w:r>
          </w:p>
        </w:tc>
        <w:tc>
          <w:tcPr>
            <w:tcW w:w="1179"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r>
      <w:tr>
        <w:tblPrEx>
          <w:tblCellMar>
            <w:top w:w="0" w:type="dxa"/>
            <w:left w:w="108" w:type="dxa"/>
            <w:bottom w:w="0" w:type="dxa"/>
            <w:right w:w="108" w:type="dxa"/>
          </w:tblCellMar>
        </w:tblPrEx>
        <w:trPr>
          <w:trHeight w:val="300" w:hRule="exact"/>
          <w:jc w:val="center"/>
        </w:trPr>
        <w:tc>
          <w:tcPr>
            <w:tcW w:w="6751" w:type="dxa"/>
            <w:gridSpan w:val="8"/>
            <w:tcBorders>
              <w:top w:val="single" w:color="auto" w:sz="4" w:space="0"/>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总分</w:t>
            </w:r>
          </w:p>
        </w:tc>
        <w:tc>
          <w:tcPr>
            <w:tcW w:w="620" w:type="dxa"/>
            <w:gridSpan w:val="2"/>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100</w:t>
            </w:r>
          </w:p>
        </w:tc>
        <w:tc>
          <w:tcPr>
            <w:tcW w:w="587" w:type="dxa"/>
            <w:gridSpan w:val="2"/>
            <w:tcBorders>
              <w:top w:val="nil"/>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rPr>
              <w:t>9</w:t>
            </w:r>
            <w:r>
              <w:rPr>
                <w:rFonts w:hint="eastAsia" w:ascii="Calibri" w:hAnsi="Calibri" w:eastAsia="宋体" w:cs="Times New Roman"/>
                <w:color w:val="000000"/>
                <w:kern w:val="0"/>
                <w:sz w:val="22"/>
                <w:szCs w:val="22"/>
                <w:lang w:val="en-US" w:eastAsia="zh-CN"/>
              </w:rPr>
              <w:t>4</w:t>
            </w:r>
          </w:p>
        </w:tc>
        <w:tc>
          <w:tcPr>
            <w:tcW w:w="1179"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r>
    </w:tbl>
    <w:p>
      <w:pPr>
        <w:spacing w:line="560" w:lineRule="exact"/>
        <w:ind w:firstLine="220" w:firstLineChars="100"/>
        <w:rPr>
          <w:rFonts w:ascii="Times New Roman" w:hAnsi="Times New Roman" w:eastAsia="仿宋_GB2312"/>
          <w:sz w:val="22"/>
          <w:szCs w:val="22"/>
        </w:rPr>
        <w:sectPr>
          <w:pgSz w:w="11906" w:h="16838"/>
          <w:pgMar w:top="1701" w:right="1531" w:bottom="1928" w:left="1531" w:header="737" w:footer="851" w:gutter="0"/>
          <w:cols w:space="720" w:num="1"/>
          <w:docGrid w:type="lines" w:linePitch="408" w:charSpace="0"/>
        </w:sectPr>
      </w:pPr>
      <w:r>
        <w:rPr>
          <w:rFonts w:ascii="Times New Roman" w:hAnsi="Times New Roman"/>
          <w:color w:val="000000"/>
          <w:kern w:val="0"/>
          <w:sz w:val="22"/>
          <w:szCs w:val="22"/>
        </w:rPr>
        <w:br w:type="page"/>
      </w:r>
    </w:p>
    <w:p>
      <w:pPr>
        <w:spacing w:line="560" w:lineRule="exact"/>
        <w:rPr>
          <w:rFonts w:hint="eastAsia" w:ascii="Times New Roman" w:hAnsi="Times New Roman" w:eastAsia="仿宋_GB2312"/>
          <w:bCs/>
          <w:color w:val="000000"/>
          <w:sz w:val="32"/>
          <w:szCs w:val="32"/>
          <w:lang w:val="en-US" w:eastAsia="zh-CN"/>
        </w:rPr>
      </w:pPr>
      <w:r>
        <w:rPr>
          <w:rFonts w:ascii="Times New Roman" w:hAnsi="Times New Roman" w:eastAsia="仿宋_GB2312"/>
          <w:bCs/>
          <w:color w:val="000000"/>
          <w:sz w:val="32"/>
          <w:szCs w:val="32"/>
        </w:rPr>
        <w:t>附件</w:t>
      </w:r>
      <w:r>
        <w:rPr>
          <w:rFonts w:hint="eastAsia" w:ascii="Times New Roman" w:hAnsi="Times New Roman" w:eastAsia="仿宋_GB2312"/>
          <w:bCs/>
          <w:color w:val="000000"/>
          <w:sz w:val="32"/>
          <w:szCs w:val="32"/>
          <w:lang w:val="en-US" w:eastAsia="zh-CN"/>
        </w:rPr>
        <w:t>2</w:t>
      </w:r>
    </w:p>
    <w:p>
      <w:pPr>
        <w:pStyle w:val="5"/>
        <w:spacing w:before="0" w:after="0" w:line="240" w:lineRule="auto"/>
        <w:jc w:val="center"/>
        <w:rPr>
          <w:rFonts w:ascii="Times New Roman" w:hAnsi="Times New Roman" w:eastAsia="宋体"/>
          <w:bCs/>
          <w:color w:val="000000"/>
          <w:sz w:val="36"/>
          <w:szCs w:val="28"/>
        </w:rPr>
      </w:pPr>
      <w:r>
        <w:rPr>
          <w:rFonts w:ascii="Times New Roman" w:hAnsi="Times New Roman" w:eastAsia="宋体"/>
          <w:bCs/>
          <w:color w:val="000000"/>
          <w:sz w:val="36"/>
          <w:szCs w:val="28"/>
        </w:rPr>
        <w:t>项目支出绩效评价</w:t>
      </w:r>
      <w:r>
        <w:rPr>
          <w:rFonts w:hint="eastAsia" w:ascii="Times New Roman" w:hAnsi="Times New Roman" w:eastAsia="宋体"/>
          <w:bCs/>
          <w:color w:val="000000"/>
          <w:sz w:val="36"/>
          <w:szCs w:val="28"/>
          <w:lang w:eastAsia="zh-CN"/>
        </w:rPr>
        <w:t>指标体系</w:t>
      </w:r>
    </w:p>
    <w:tbl>
      <w:tblPr>
        <w:tblStyle w:val="9"/>
        <w:tblW w:w="13246"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82"/>
        <w:gridCol w:w="709"/>
        <w:gridCol w:w="1134"/>
        <w:gridCol w:w="567"/>
        <w:gridCol w:w="2579"/>
        <w:gridCol w:w="5265"/>
        <w:gridCol w:w="1830"/>
        <w:gridCol w:w="48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682" w:type="dxa"/>
            <w:shd w:val="clear" w:color="auto" w:fill="FFFFFF"/>
            <w:vAlign w:val="center"/>
          </w:tcPr>
          <w:p>
            <w:pPr>
              <w:widowControl/>
              <w:spacing w:line="0" w:lineRule="atLeast"/>
              <w:jc w:val="center"/>
              <w:rPr>
                <w:rFonts w:ascii="Times New Roman" w:hAnsi="Times New Roman"/>
                <w:b/>
                <w:bCs/>
                <w:color w:val="000000"/>
                <w:kern w:val="0"/>
                <w:sz w:val="22"/>
              </w:rPr>
            </w:pPr>
            <w:r>
              <w:rPr>
                <w:rFonts w:ascii="Times New Roman" w:hAnsi="Times New Roman"/>
                <w:b/>
                <w:bCs/>
                <w:color w:val="000000"/>
                <w:kern w:val="0"/>
                <w:sz w:val="22"/>
              </w:rPr>
              <w:t>一级指标</w:t>
            </w:r>
          </w:p>
        </w:tc>
        <w:tc>
          <w:tcPr>
            <w:tcW w:w="709" w:type="dxa"/>
            <w:shd w:val="clear" w:color="auto" w:fill="FFFFFF"/>
            <w:vAlign w:val="center"/>
          </w:tcPr>
          <w:p>
            <w:pPr>
              <w:widowControl/>
              <w:spacing w:line="0" w:lineRule="atLeast"/>
              <w:jc w:val="center"/>
              <w:rPr>
                <w:rFonts w:ascii="Times New Roman" w:hAnsi="Times New Roman"/>
                <w:b/>
                <w:bCs/>
                <w:color w:val="000000"/>
                <w:kern w:val="0"/>
                <w:sz w:val="22"/>
              </w:rPr>
            </w:pPr>
            <w:r>
              <w:rPr>
                <w:rFonts w:ascii="Times New Roman" w:hAnsi="Times New Roman"/>
                <w:b/>
                <w:bCs/>
                <w:color w:val="000000"/>
                <w:kern w:val="0"/>
                <w:sz w:val="22"/>
              </w:rPr>
              <w:t>二级指标</w:t>
            </w:r>
          </w:p>
        </w:tc>
        <w:tc>
          <w:tcPr>
            <w:tcW w:w="1134" w:type="dxa"/>
            <w:shd w:val="clear" w:color="auto" w:fill="FFFFFF"/>
            <w:vAlign w:val="center"/>
          </w:tcPr>
          <w:p>
            <w:pPr>
              <w:widowControl/>
              <w:spacing w:line="0" w:lineRule="atLeast"/>
              <w:jc w:val="center"/>
              <w:rPr>
                <w:rFonts w:ascii="Times New Roman" w:hAnsi="Times New Roman"/>
                <w:b/>
                <w:bCs/>
                <w:color w:val="000000"/>
                <w:kern w:val="0"/>
                <w:sz w:val="22"/>
              </w:rPr>
            </w:pPr>
            <w:r>
              <w:rPr>
                <w:rFonts w:ascii="Times New Roman" w:hAnsi="Times New Roman"/>
                <w:b/>
                <w:bCs/>
                <w:color w:val="000000"/>
                <w:kern w:val="0"/>
                <w:sz w:val="22"/>
              </w:rPr>
              <w:t>三级指标</w:t>
            </w:r>
          </w:p>
        </w:tc>
        <w:tc>
          <w:tcPr>
            <w:tcW w:w="567" w:type="dxa"/>
            <w:shd w:val="clear" w:color="auto" w:fill="FFFFFF"/>
          </w:tcPr>
          <w:p>
            <w:pPr>
              <w:widowControl/>
              <w:spacing w:line="0" w:lineRule="atLeast"/>
              <w:jc w:val="center"/>
              <w:rPr>
                <w:rFonts w:ascii="Times New Roman" w:hAnsi="Times New Roman"/>
                <w:b/>
                <w:bCs/>
                <w:color w:val="000000"/>
                <w:kern w:val="0"/>
                <w:sz w:val="22"/>
              </w:rPr>
            </w:pPr>
            <w:r>
              <w:rPr>
                <w:rFonts w:ascii="Times New Roman" w:hAnsi="Times New Roman"/>
                <w:b/>
                <w:bCs/>
                <w:color w:val="000000"/>
                <w:kern w:val="0"/>
                <w:sz w:val="22"/>
              </w:rPr>
              <w:t>分</w:t>
            </w:r>
          </w:p>
          <w:p>
            <w:pPr>
              <w:widowControl/>
              <w:spacing w:line="0" w:lineRule="atLeast"/>
              <w:jc w:val="center"/>
              <w:rPr>
                <w:rFonts w:ascii="Times New Roman" w:hAnsi="Times New Roman"/>
                <w:b/>
                <w:bCs/>
                <w:color w:val="000000"/>
                <w:kern w:val="0"/>
                <w:sz w:val="22"/>
              </w:rPr>
            </w:pPr>
            <w:r>
              <w:rPr>
                <w:rFonts w:ascii="Times New Roman" w:hAnsi="Times New Roman"/>
                <w:b/>
                <w:bCs/>
                <w:color w:val="000000"/>
                <w:kern w:val="0"/>
                <w:sz w:val="22"/>
              </w:rPr>
              <w:t>值</w:t>
            </w:r>
          </w:p>
        </w:tc>
        <w:tc>
          <w:tcPr>
            <w:tcW w:w="2579" w:type="dxa"/>
            <w:shd w:val="clear" w:color="auto" w:fill="FFFFFF"/>
            <w:vAlign w:val="center"/>
          </w:tcPr>
          <w:p>
            <w:pPr>
              <w:widowControl/>
              <w:spacing w:line="0" w:lineRule="atLeast"/>
              <w:jc w:val="center"/>
              <w:rPr>
                <w:rFonts w:ascii="Times New Roman" w:hAnsi="Times New Roman"/>
                <w:b/>
                <w:bCs/>
                <w:color w:val="000000"/>
                <w:kern w:val="0"/>
                <w:sz w:val="22"/>
              </w:rPr>
            </w:pPr>
            <w:r>
              <w:rPr>
                <w:rFonts w:ascii="Times New Roman" w:hAnsi="Times New Roman"/>
                <w:b/>
                <w:bCs/>
                <w:color w:val="000000"/>
                <w:kern w:val="0"/>
                <w:sz w:val="22"/>
              </w:rPr>
              <w:t>指标解释</w:t>
            </w:r>
          </w:p>
        </w:tc>
        <w:tc>
          <w:tcPr>
            <w:tcW w:w="5265" w:type="dxa"/>
            <w:shd w:val="clear" w:color="auto" w:fill="FFFFFF"/>
            <w:vAlign w:val="center"/>
          </w:tcPr>
          <w:p>
            <w:pPr>
              <w:widowControl/>
              <w:spacing w:line="0" w:lineRule="atLeast"/>
              <w:jc w:val="center"/>
              <w:rPr>
                <w:rFonts w:ascii="Times New Roman" w:hAnsi="Times New Roman"/>
                <w:b/>
                <w:bCs/>
                <w:color w:val="000000"/>
                <w:kern w:val="0"/>
                <w:sz w:val="22"/>
              </w:rPr>
            </w:pPr>
            <w:r>
              <w:rPr>
                <w:rFonts w:ascii="Times New Roman" w:hAnsi="Times New Roman"/>
                <w:b/>
                <w:bCs/>
                <w:color w:val="000000"/>
                <w:kern w:val="0"/>
                <w:sz w:val="22"/>
              </w:rPr>
              <w:t>指标说明</w:t>
            </w:r>
          </w:p>
        </w:tc>
        <w:tc>
          <w:tcPr>
            <w:tcW w:w="1830" w:type="dxa"/>
            <w:shd w:val="clear" w:color="auto" w:fill="FFFFFF"/>
            <w:vAlign w:val="center"/>
          </w:tcPr>
          <w:p>
            <w:pPr>
              <w:widowControl/>
              <w:spacing w:line="0" w:lineRule="atLeast"/>
              <w:jc w:val="center"/>
              <w:rPr>
                <w:rFonts w:hint="eastAsia" w:ascii="Times New Roman" w:hAnsi="Times New Roman" w:eastAsia="宋体"/>
                <w:b/>
                <w:bCs/>
                <w:color w:val="000000"/>
                <w:kern w:val="0"/>
                <w:sz w:val="22"/>
                <w:lang w:eastAsia="zh-CN"/>
              </w:rPr>
            </w:pPr>
            <w:r>
              <w:rPr>
                <w:rFonts w:hint="eastAsia" w:ascii="Times New Roman" w:hAnsi="Times New Roman"/>
                <w:b/>
                <w:bCs/>
                <w:color w:val="000000"/>
                <w:kern w:val="0"/>
                <w:sz w:val="22"/>
                <w:lang w:eastAsia="zh-CN"/>
              </w:rPr>
              <w:t>评分标准</w:t>
            </w:r>
          </w:p>
        </w:tc>
        <w:tc>
          <w:tcPr>
            <w:tcW w:w="480" w:type="dxa"/>
            <w:shd w:val="clear" w:color="auto" w:fill="FFFFFF"/>
            <w:vAlign w:val="center"/>
          </w:tcPr>
          <w:p>
            <w:pPr>
              <w:widowControl/>
              <w:spacing w:line="0" w:lineRule="atLeast"/>
              <w:jc w:val="center"/>
              <w:rPr>
                <w:rFonts w:ascii="Times New Roman" w:hAnsi="Times New Roman"/>
                <w:b/>
                <w:bCs/>
                <w:color w:val="000000"/>
                <w:kern w:val="0"/>
                <w:sz w:val="22"/>
              </w:rPr>
            </w:pPr>
            <w:r>
              <w:rPr>
                <w:rFonts w:ascii="Times New Roman" w:hAnsi="Times New Roman"/>
                <w:b/>
                <w:bCs/>
                <w:color w:val="000000"/>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682" w:type="dxa"/>
            <w:vMerge w:val="restart"/>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决策　</w:t>
            </w:r>
          </w:p>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　</w:t>
            </w:r>
          </w:p>
          <w:p>
            <w:pPr>
              <w:spacing w:line="0" w:lineRule="atLeast"/>
              <w:jc w:val="center"/>
              <w:rPr>
                <w:rFonts w:ascii="Times New Roman" w:hAnsi="Times New Roman"/>
                <w:color w:val="000000"/>
                <w:kern w:val="0"/>
                <w:sz w:val="22"/>
              </w:rPr>
            </w:pPr>
            <w:r>
              <w:rPr>
                <w:rFonts w:ascii="Times New Roman" w:hAnsi="Times New Roman"/>
                <w:color w:val="000000"/>
                <w:kern w:val="0"/>
                <w:sz w:val="22"/>
              </w:rPr>
              <w:t>　</w:t>
            </w:r>
          </w:p>
        </w:tc>
        <w:tc>
          <w:tcPr>
            <w:tcW w:w="709" w:type="dxa"/>
            <w:vMerge w:val="restart"/>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项目立项　</w:t>
            </w:r>
          </w:p>
        </w:tc>
        <w:tc>
          <w:tcPr>
            <w:tcW w:w="1134" w:type="dxa"/>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立项依据</w:t>
            </w:r>
          </w:p>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充分性</w:t>
            </w:r>
          </w:p>
        </w:tc>
        <w:tc>
          <w:tcPr>
            <w:tcW w:w="567" w:type="dxa"/>
            <w:shd w:val="clear" w:color="auto" w:fill="FFFFFF"/>
            <w:vAlign w:val="center"/>
          </w:tcPr>
          <w:p>
            <w:pPr>
              <w:widowControl/>
              <w:spacing w:line="0" w:lineRule="atLeast"/>
              <w:jc w:val="center"/>
              <w:rPr>
                <w:rFonts w:ascii="Times New Roman" w:hAnsi="Times New Roman"/>
                <w:color w:val="auto"/>
                <w:kern w:val="0"/>
                <w:sz w:val="22"/>
              </w:rPr>
            </w:pPr>
            <w:r>
              <w:rPr>
                <w:rFonts w:ascii="Times New Roman" w:hAnsi="Times New Roman"/>
                <w:color w:val="auto"/>
                <w:kern w:val="0"/>
                <w:sz w:val="22"/>
              </w:rPr>
              <w:t>4</w:t>
            </w:r>
          </w:p>
        </w:tc>
        <w:tc>
          <w:tcPr>
            <w:tcW w:w="2579" w:type="dxa"/>
            <w:shd w:val="clear" w:color="auto" w:fill="FFFFFF"/>
            <w:vAlign w:val="center"/>
          </w:tcPr>
          <w:p>
            <w:pPr>
              <w:widowControl/>
              <w:spacing w:line="0" w:lineRule="atLeast"/>
              <w:rPr>
                <w:rFonts w:ascii="Times New Roman" w:hAnsi="Times New Roman"/>
                <w:color w:val="000000"/>
                <w:kern w:val="0"/>
                <w:sz w:val="22"/>
              </w:rPr>
            </w:pPr>
            <w:r>
              <w:rPr>
                <w:rFonts w:ascii="Times New Roman" w:hAnsi="Times New Roman"/>
                <w:color w:val="000000"/>
                <w:kern w:val="0"/>
                <w:sz w:val="22"/>
              </w:rPr>
              <w:t>项目立项是否符合法律法规、相关政策、发展规划以及部门职责，用以反映和考核项目立项依据情况。</w:t>
            </w:r>
          </w:p>
        </w:tc>
        <w:tc>
          <w:tcPr>
            <w:tcW w:w="5265" w:type="dxa"/>
            <w:shd w:val="clear" w:color="auto" w:fill="FFFFFF"/>
            <w:vAlign w:val="center"/>
          </w:tcPr>
          <w:p>
            <w:pPr>
              <w:widowControl/>
              <w:spacing w:line="0" w:lineRule="atLeast"/>
              <w:jc w:val="left"/>
              <w:rPr>
                <w:rFonts w:hint="eastAsia" w:ascii="Times New Roman" w:hAnsi="Times New Roman" w:eastAsia="宋体"/>
                <w:color w:val="000000"/>
                <w:kern w:val="0"/>
                <w:sz w:val="22"/>
                <w:lang w:eastAsia="zh-CN"/>
              </w:rPr>
            </w:pPr>
            <w:r>
              <w:rPr>
                <w:rFonts w:ascii="Times New Roman" w:hAnsi="Times New Roman"/>
                <w:color w:val="000000"/>
                <w:kern w:val="0"/>
                <w:sz w:val="22"/>
              </w:rPr>
              <w:t>评价要点：</w:t>
            </w:r>
          </w:p>
          <w:p>
            <w:pPr>
              <w:widowControl/>
              <w:spacing w:line="0" w:lineRule="atLeast"/>
              <w:jc w:val="left"/>
              <w:rPr>
                <w:rFonts w:hint="eastAsia" w:ascii="Times New Roman" w:hAnsi="Times New Roman" w:eastAsia="宋体"/>
                <w:color w:val="000000"/>
                <w:kern w:val="0"/>
                <w:sz w:val="22"/>
                <w:lang w:eastAsia="zh-CN"/>
              </w:rPr>
            </w:pPr>
            <w:r>
              <w:rPr>
                <w:rFonts w:ascii="Times New Roman" w:hAnsi="Times New Roman"/>
                <w:color w:val="000000"/>
                <w:kern w:val="0"/>
                <w:sz w:val="22"/>
              </w:rPr>
              <w:t>①项目立项是否符合国家法律法规、国民经济发展规划和相关政策；</w:t>
            </w:r>
          </w:p>
          <w:p>
            <w:pPr>
              <w:widowControl/>
              <w:spacing w:line="0" w:lineRule="atLeast"/>
              <w:jc w:val="left"/>
              <w:rPr>
                <w:rFonts w:hint="eastAsia" w:ascii="Times New Roman" w:hAnsi="Times New Roman" w:eastAsia="宋体"/>
                <w:color w:val="000000"/>
                <w:kern w:val="0"/>
                <w:sz w:val="22"/>
                <w:lang w:eastAsia="zh-CN"/>
              </w:rPr>
            </w:pPr>
            <w:r>
              <w:rPr>
                <w:rFonts w:ascii="Times New Roman" w:hAnsi="Times New Roman"/>
                <w:color w:val="000000"/>
                <w:kern w:val="0"/>
                <w:sz w:val="22"/>
              </w:rPr>
              <w:t>②项目立项是否符合行业发展规划和政策要求；</w:t>
            </w:r>
          </w:p>
          <w:p>
            <w:pPr>
              <w:widowControl/>
              <w:spacing w:line="0" w:lineRule="atLeast"/>
              <w:jc w:val="left"/>
              <w:rPr>
                <w:rFonts w:hint="eastAsia" w:ascii="Times New Roman" w:hAnsi="Times New Roman" w:eastAsia="宋体"/>
                <w:color w:val="000000"/>
                <w:kern w:val="0"/>
                <w:sz w:val="22"/>
                <w:lang w:eastAsia="zh-CN"/>
              </w:rPr>
            </w:pPr>
            <w:r>
              <w:rPr>
                <w:rFonts w:ascii="Times New Roman" w:hAnsi="Times New Roman"/>
                <w:color w:val="000000"/>
                <w:kern w:val="0"/>
                <w:sz w:val="22"/>
              </w:rPr>
              <w:t>③项目立项是否与部门职责范围相符，属于部门履职所需；</w:t>
            </w:r>
          </w:p>
          <w:p>
            <w:pPr>
              <w:widowControl/>
              <w:spacing w:line="0" w:lineRule="atLeast"/>
              <w:jc w:val="left"/>
              <w:rPr>
                <w:rFonts w:hint="eastAsia" w:ascii="Times New Roman" w:hAnsi="Times New Roman" w:eastAsia="宋体"/>
                <w:color w:val="000000"/>
                <w:kern w:val="0"/>
                <w:sz w:val="22"/>
                <w:lang w:eastAsia="zh-CN"/>
              </w:rPr>
            </w:pPr>
            <w:r>
              <w:rPr>
                <w:rFonts w:ascii="Times New Roman" w:hAnsi="Times New Roman"/>
                <w:color w:val="000000"/>
                <w:kern w:val="0"/>
                <w:sz w:val="22"/>
              </w:rPr>
              <w:t>④项目是否属于公共财政支持范围，是否符合中央、地方事权支出责任划分原则；</w:t>
            </w:r>
          </w:p>
          <w:p>
            <w:pPr>
              <w:widowControl/>
              <w:spacing w:line="0" w:lineRule="atLeast"/>
              <w:jc w:val="left"/>
              <w:rPr>
                <w:rFonts w:ascii="Times New Roman" w:hAnsi="Times New Roman"/>
                <w:color w:val="000000"/>
                <w:kern w:val="0"/>
                <w:sz w:val="22"/>
              </w:rPr>
            </w:pPr>
            <w:r>
              <w:rPr>
                <w:rFonts w:ascii="Times New Roman" w:hAnsi="Times New Roman"/>
                <w:color w:val="000000"/>
                <w:kern w:val="0"/>
                <w:sz w:val="22"/>
              </w:rPr>
              <w:t>⑤项目是否与相关部门同类项目或部门内部相关项目重复。</w:t>
            </w:r>
          </w:p>
        </w:tc>
        <w:tc>
          <w:tcPr>
            <w:tcW w:w="1830" w:type="dxa"/>
            <w:shd w:val="clear" w:color="auto" w:fill="FFFFFF"/>
            <w:vAlign w:val="center"/>
          </w:tcPr>
          <w:p>
            <w:pPr>
              <w:widowControl/>
              <w:spacing w:line="0" w:lineRule="atLeast"/>
              <w:jc w:val="center"/>
              <w:rPr>
                <w:rFonts w:hint="default" w:ascii="Times New Roman" w:hAnsi="Times New Roman" w:eastAsia="宋体"/>
                <w:color w:val="000000"/>
                <w:kern w:val="0"/>
                <w:sz w:val="22"/>
                <w:lang w:val="en-US" w:eastAsia="zh-CN"/>
              </w:rPr>
            </w:pPr>
            <w:r>
              <w:rPr>
                <w:rFonts w:ascii="Times New Roman" w:hAnsi="Times New Roman"/>
                <w:color w:val="000000"/>
                <w:kern w:val="0"/>
                <w:sz w:val="22"/>
              </w:rPr>
              <w:t>项目立项符合法律法规</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w:t>
            </w:r>
            <w:r>
              <w:rPr>
                <w:rFonts w:ascii="Times New Roman" w:hAnsi="Times New Roman"/>
                <w:color w:val="000000"/>
                <w:kern w:val="0"/>
                <w:sz w:val="22"/>
              </w:rPr>
              <w:t>、相关政策</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r>
              <w:rPr>
                <w:rFonts w:ascii="Times New Roman" w:hAnsi="Times New Roman"/>
                <w:color w:val="000000"/>
                <w:kern w:val="0"/>
                <w:sz w:val="22"/>
              </w:rPr>
              <w:t>、</w:t>
            </w:r>
            <w:r>
              <w:rPr>
                <w:rFonts w:hint="eastAsia" w:ascii="Times New Roman" w:hAnsi="Times New Roman"/>
                <w:color w:val="000000"/>
                <w:kern w:val="0"/>
                <w:sz w:val="22"/>
                <w:lang w:eastAsia="zh-CN"/>
              </w:rPr>
              <w:t>符合</w:t>
            </w:r>
            <w:r>
              <w:rPr>
                <w:rFonts w:ascii="Times New Roman" w:hAnsi="Times New Roman"/>
                <w:color w:val="000000"/>
                <w:kern w:val="0"/>
                <w:sz w:val="22"/>
              </w:rPr>
              <w:t>发展规划</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1分，不符合不得分</w:t>
            </w:r>
          </w:p>
        </w:tc>
        <w:tc>
          <w:tcPr>
            <w:tcW w:w="480" w:type="dxa"/>
            <w:shd w:val="clear" w:color="auto" w:fill="FFFFFF"/>
            <w:vAlign w:val="center"/>
          </w:tcPr>
          <w:p>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10" w:hRule="atLeast"/>
          <w:jc w:val="center"/>
        </w:trPr>
        <w:tc>
          <w:tcPr>
            <w:tcW w:w="682" w:type="dxa"/>
            <w:vMerge w:val="continue"/>
            <w:shd w:val="clear" w:color="auto" w:fill="FFFFFF"/>
            <w:vAlign w:val="center"/>
          </w:tcPr>
          <w:p>
            <w:pPr>
              <w:spacing w:line="0" w:lineRule="atLeast"/>
              <w:jc w:val="center"/>
              <w:rPr>
                <w:rFonts w:ascii="Times New Roman" w:hAnsi="Times New Roman"/>
                <w:color w:val="000000"/>
                <w:kern w:val="0"/>
                <w:sz w:val="22"/>
              </w:rPr>
            </w:pPr>
          </w:p>
        </w:tc>
        <w:tc>
          <w:tcPr>
            <w:tcW w:w="709" w:type="dxa"/>
            <w:vMerge w:val="continue"/>
            <w:shd w:val="clear" w:color="auto" w:fill="FFFFFF"/>
            <w:vAlign w:val="center"/>
          </w:tcPr>
          <w:p>
            <w:pPr>
              <w:widowControl/>
              <w:spacing w:line="0" w:lineRule="atLeast"/>
              <w:jc w:val="center"/>
              <w:rPr>
                <w:rFonts w:ascii="Times New Roman" w:hAnsi="Times New Roman"/>
                <w:color w:val="000000"/>
                <w:kern w:val="0"/>
                <w:sz w:val="22"/>
              </w:rPr>
            </w:pPr>
          </w:p>
        </w:tc>
        <w:tc>
          <w:tcPr>
            <w:tcW w:w="1134" w:type="dxa"/>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立项程序</w:t>
            </w:r>
          </w:p>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规范性</w:t>
            </w:r>
          </w:p>
        </w:tc>
        <w:tc>
          <w:tcPr>
            <w:tcW w:w="567" w:type="dxa"/>
            <w:shd w:val="clear" w:color="auto" w:fill="FFFFFF"/>
            <w:vAlign w:val="center"/>
          </w:tcPr>
          <w:p>
            <w:pPr>
              <w:widowControl/>
              <w:spacing w:line="0" w:lineRule="atLeast"/>
              <w:jc w:val="center"/>
              <w:rPr>
                <w:rFonts w:ascii="Times New Roman" w:hAnsi="Times New Roman"/>
                <w:color w:val="auto"/>
                <w:kern w:val="0"/>
                <w:sz w:val="22"/>
              </w:rPr>
            </w:pPr>
            <w:r>
              <w:rPr>
                <w:rFonts w:ascii="Times New Roman" w:hAnsi="Times New Roman"/>
                <w:color w:val="auto"/>
                <w:kern w:val="0"/>
                <w:sz w:val="22"/>
              </w:rPr>
              <w:t>3</w:t>
            </w:r>
          </w:p>
        </w:tc>
        <w:tc>
          <w:tcPr>
            <w:tcW w:w="2579" w:type="dxa"/>
            <w:shd w:val="clear" w:color="auto" w:fill="FFFFFF"/>
            <w:vAlign w:val="center"/>
          </w:tcPr>
          <w:p>
            <w:pPr>
              <w:widowControl/>
              <w:spacing w:line="0" w:lineRule="atLeast"/>
              <w:rPr>
                <w:rFonts w:ascii="Times New Roman" w:hAnsi="Times New Roman"/>
                <w:color w:val="000000"/>
                <w:kern w:val="0"/>
                <w:sz w:val="22"/>
              </w:rPr>
            </w:pPr>
            <w:r>
              <w:rPr>
                <w:rFonts w:ascii="Times New Roman" w:hAnsi="Times New Roman"/>
                <w:color w:val="000000"/>
                <w:kern w:val="0"/>
                <w:sz w:val="22"/>
              </w:rPr>
              <w:t>项目申请、设立过程是否符合相关要求，用以反映和考核项目立项的规范情况。</w:t>
            </w:r>
          </w:p>
        </w:tc>
        <w:tc>
          <w:tcPr>
            <w:tcW w:w="5265" w:type="dxa"/>
            <w:shd w:val="clear" w:color="auto" w:fill="FFFFFF"/>
            <w:vAlign w:val="center"/>
          </w:tcPr>
          <w:p>
            <w:pPr>
              <w:widowControl/>
              <w:spacing w:line="0" w:lineRule="atLeast"/>
              <w:jc w:val="left"/>
              <w:rPr>
                <w:rFonts w:hint="eastAsia" w:ascii="Times New Roman" w:hAnsi="Times New Roman" w:eastAsia="宋体"/>
                <w:color w:val="000000"/>
                <w:kern w:val="0"/>
                <w:sz w:val="22"/>
                <w:lang w:eastAsia="zh-CN"/>
              </w:rPr>
            </w:pPr>
            <w:r>
              <w:rPr>
                <w:rFonts w:ascii="Times New Roman" w:hAnsi="Times New Roman"/>
                <w:color w:val="000000"/>
                <w:kern w:val="0"/>
                <w:sz w:val="22"/>
              </w:rPr>
              <w:t>评价要点：</w:t>
            </w:r>
          </w:p>
          <w:p>
            <w:pPr>
              <w:widowControl/>
              <w:spacing w:line="0" w:lineRule="atLeast"/>
              <w:jc w:val="left"/>
              <w:rPr>
                <w:rFonts w:hint="eastAsia" w:ascii="Times New Roman" w:hAnsi="Times New Roman" w:eastAsia="宋体"/>
                <w:color w:val="000000"/>
                <w:kern w:val="0"/>
                <w:sz w:val="22"/>
                <w:lang w:eastAsia="zh-CN"/>
              </w:rPr>
            </w:pPr>
            <w:r>
              <w:rPr>
                <w:rFonts w:ascii="Times New Roman" w:hAnsi="Times New Roman"/>
                <w:color w:val="000000"/>
                <w:kern w:val="0"/>
                <w:sz w:val="22"/>
              </w:rPr>
              <w:t>①项目是否按照规定的程序申请设立；</w:t>
            </w:r>
          </w:p>
          <w:p>
            <w:pPr>
              <w:widowControl/>
              <w:spacing w:line="0" w:lineRule="atLeast"/>
              <w:jc w:val="left"/>
              <w:rPr>
                <w:rFonts w:hint="eastAsia" w:ascii="Times New Roman" w:hAnsi="Times New Roman" w:eastAsia="宋体"/>
                <w:color w:val="000000"/>
                <w:kern w:val="0"/>
                <w:sz w:val="22"/>
                <w:lang w:eastAsia="zh-CN"/>
              </w:rPr>
            </w:pPr>
            <w:r>
              <w:rPr>
                <w:rFonts w:ascii="Times New Roman" w:hAnsi="Times New Roman"/>
                <w:color w:val="000000"/>
                <w:kern w:val="0"/>
                <w:sz w:val="22"/>
              </w:rPr>
              <w:t>②审批文件、材料是否符合相关要求；</w:t>
            </w:r>
          </w:p>
          <w:p>
            <w:pPr>
              <w:widowControl/>
              <w:spacing w:line="0" w:lineRule="atLeast"/>
              <w:jc w:val="left"/>
              <w:rPr>
                <w:rFonts w:ascii="Times New Roman" w:hAnsi="Times New Roman"/>
                <w:color w:val="000000"/>
                <w:kern w:val="0"/>
                <w:sz w:val="22"/>
              </w:rPr>
            </w:pPr>
            <w:r>
              <w:rPr>
                <w:rFonts w:ascii="Times New Roman" w:hAnsi="Times New Roman"/>
                <w:color w:val="000000"/>
                <w:kern w:val="0"/>
                <w:sz w:val="22"/>
              </w:rPr>
              <w:t>③事前是否已经过必要的可行性研究、专家论证、风险评估、绩效评估、集体决策。</w:t>
            </w:r>
          </w:p>
        </w:tc>
        <w:tc>
          <w:tcPr>
            <w:tcW w:w="1830" w:type="dxa"/>
            <w:shd w:val="clear" w:color="auto" w:fill="FFFFFF"/>
            <w:vAlign w:val="center"/>
          </w:tcPr>
          <w:p>
            <w:pPr>
              <w:widowControl/>
              <w:spacing w:line="0" w:lineRule="atLeast"/>
              <w:jc w:val="center"/>
              <w:rPr>
                <w:rFonts w:hint="default" w:ascii="Times New Roman" w:hAnsi="Times New Roman" w:eastAsia="宋体"/>
                <w:color w:val="000000"/>
                <w:kern w:val="0"/>
                <w:sz w:val="22"/>
                <w:lang w:val="en-US" w:eastAsia="zh-CN"/>
              </w:rPr>
            </w:pPr>
            <w:r>
              <w:rPr>
                <w:rFonts w:ascii="Times New Roman" w:hAnsi="Times New Roman"/>
                <w:color w:val="000000"/>
                <w:kern w:val="0"/>
                <w:sz w:val="22"/>
              </w:rPr>
              <w:t>项目申请符合相关要求</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w:t>
            </w:r>
            <w:r>
              <w:rPr>
                <w:rFonts w:ascii="Times New Roman" w:hAnsi="Times New Roman"/>
                <w:color w:val="000000"/>
                <w:kern w:val="0"/>
                <w:sz w:val="22"/>
              </w:rPr>
              <w:t>、设立过程</w:t>
            </w:r>
            <w:r>
              <w:rPr>
                <w:rFonts w:hint="eastAsia" w:ascii="Times New Roman" w:hAnsi="Times New Roman"/>
                <w:color w:val="000000"/>
                <w:kern w:val="0"/>
                <w:sz w:val="22"/>
                <w:lang w:eastAsia="zh-CN"/>
              </w:rPr>
              <w:t>符合要求得</w:t>
            </w:r>
            <w:r>
              <w:rPr>
                <w:rFonts w:hint="eastAsia" w:ascii="Times New Roman" w:hAnsi="Times New Roman"/>
                <w:color w:val="000000"/>
                <w:kern w:val="0"/>
                <w:sz w:val="22"/>
                <w:lang w:val="en-US" w:eastAsia="zh-CN"/>
              </w:rPr>
              <w:t>1分，不符合不得分</w:t>
            </w:r>
          </w:p>
        </w:tc>
        <w:tc>
          <w:tcPr>
            <w:tcW w:w="480" w:type="dxa"/>
            <w:shd w:val="clear" w:color="auto" w:fill="FFFFFF"/>
            <w:vAlign w:val="center"/>
          </w:tcPr>
          <w:p>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9" w:hRule="atLeast"/>
          <w:jc w:val="center"/>
        </w:trPr>
        <w:tc>
          <w:tcPr>
            <w:tcW w:w="682" w:type="dxa"/>
            <w:vMerge w:val="continue"/>
            <w:shd w:val="clear" w:color="auto" w:fill="FFFFFF"/>
            <w:vAlign w:val="center"/>
          </w:tcPr>
          <w:p>
            <w:pPr>
              <w:spacing w:line="0" w:lineRule="atLeast"/>
              <w:jc w:val="center"/>
              <w:rPr>
                <w:rFonts w:ascii="Times New Roman" w:hAnsi="Times New Roman"/>
                <w:color w:val="000000"/>
                <w:kern w:val="0"/>
                <w:sz w:val="22"/>
              </w:rPr>
            </w:pPr>
          </w:p>
        </w:tc>
        <w:tc>
          <w:tcPr>
            <w:tcW w:w="709" w:type="dxa"/>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绩效目标　</w:t>
            </w:r>
          </w:p>
        </w:tc>
        <w:tc>
          <w:tcPr>
            <w:tcW w:w="1134" w:type="dxa"/>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绩效目标</w:t>
            </w:r>
          </w:p>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合理性</w:t>
            </w:r>
          </w:p>
        </w:tc>
        <w:tc>
          <w:tcPr>
            <w:tcW w:w="567" w:type="dxa"/>
            <w:shd w:val="clear" w:color="auto" w:fill="FFFFFF"/>
            <w:vAlign w:val="center"/>
          </w:tcPr>
          <w:p>
            <w:pPr>
              <w:widowControl/>
              <w:spacing w:line="0" w:lineRule="atLeast"/>
              <w:jc w:val="center"/>
              <w:rPr>
                <w:rFonts w:ascii="Times New Roman" w:hAnsi="Times New Roman"/>
                <w:color w:val="auto"/>
                <w:kern w:val="0"/>
                <w:sz w:val="22"/>
              </w:rPr>
            </w:pPr>
            <w:r>
              <w:rPr>
                <w:rFonts w:ascii="Times New Roman" w:hAnsi="Times New Roman"/>
                <w:color w:val="auto"/>
                <w:kern w:val="0"/>
                <w:sz w:val="22"/>
              </w:rPr>
              <w:t>4</w:t>
            </w:r>
          </w:p>
        </w:tc>
        <w:tc>
          <w:tcPr>
            <w:tcW w:w="2579" w:type="dxa"/>
            <w:shd w:val="clear" w:color="auto" w:fill="FFFFFF"/>
            <w:vAlign w:val="center"/>
          </w:tcPr>
          <w:p>
            <w:pPr>
              <w:widowControl/>
              <w:spacing w:line="0" w:lineRule="atLeast"/>
              <w:rPr>
                <w:rFonts w:ascii="Times New Roman" w:hAnsi="Times New Roman"/>
                <w:color w:val="000000"/>
                <w:kern w:val="0"/>
                <w:sz w:val="22"/>
              </w:rPr>
            </w:pPr>
            <w:r>
              <w:rPr>
                <w:rFonts w:ascii="Times New Roman" w:hAnsi="Times New Roman"/>
                <w:color w:val="000000"/>
                <w:kern w:val="0"/>
                <w:sz w:val="22"/>
              </w:rPr>
              <w:t>项目所设定的绩效目标是否依据充分，是否符合客观实际，用以反映和考核项目绩效目标与项目实施的相符情况。</w:t>
            </w:r>
          </w:p>
        </w:tc>
        <w:tc>
          <w:tcPr>
            <w:tcW w:w="5265" w:type="dxa"/>
            <w:shd w:val="clear" w:color="auto" w:fill="FFFFFF"/>
            <w:vAlign w:val="center"/>
          </w:tcPr>
          <w:p>
            <w:pPr>
              <w:widowControl/>
              <w:spacing w:line="0" w:lineRule="atLeast"/>
              <w:jc w:val="left"/>
              <w:rPr>
                <w:rFonts w:hint="eastAsia" w:ascii="Times New Roman" w:hAnsi="Times New Roman" w:eastAsia="宋体"/>
                <w:color w:val="000000"/>
                <w:kern w:val="0"/>
                <w:sz w:val="22"/>
                <w:lang w:eastAsia="zh-CN"/>
              </w:rPr>
            </w:pPr>
            <w:r>
              <w:rPr>
                <w:rFonts w:ascii="Times New Roman" w:hAnsi="Times New Roman"/>
                <w:color w:val="000000"/>
                <w:kern w:val="0"/>
                <w:sz w:val="22"/>
              </w:rPr>
              <w:t>评价要点：</w:t>
            </w:r>
          </w:p>
          <w:p>
            <w:pPr>
              <w:widowControl/>
              <w:spacing w:line="0" w:lineRule="atLeast"/>
              <w:jc w:val="left"/>
              <w:rPr>
                <w:rFonts w:hint="eastAsia" w:ascii="Times New Roman" w:hAnsi="Times New Roman" w:eastAsia="宋体"/>
                <w:color w:val="000000"/>
                <w:kern w:val="0"/>
                <w:sz w:val="22"/>
                <w:lang w:eastAsia="zh-CN"/>
              </w:rPr>
            </w:pPr>
            <w:r>
              <w:rPr>
                <w:rFonts w:ascii="Times New Roman" w:hAnsi="Times New Roman"/>
                <w:color w:val="000000"/>
                <w:kern w:val="0"/>
                <w:sz w:val="22"/>
              </w:rPr>
              <w:t>（如未设定预算绩效目标，也可考核其他工作任务目标）</w:t>
            </w:r>
          </w:p>
          <w:p>
            <w:pPr>
              <w:widowControl/>
              <w:spacing w:line="0" w:lineRule="atLeast"/>
              <w:jc w:val="left"/>
              <w:rPr>
                <w:rFonts w:hint="eastAsia" w:ascii="Times New Roman" w:hAnsi="Times New Roman" w:eastAsia="宋体"/>
                <w:color w:val="000000"/>
                <w:kern w:val="0"/>
                <w:sz w:val="22"/>
                <w:lang w:eastAsia="zh-CN"/>
              </w:rPr>
            </w:pPr>
            <w:r>
              <w:rPr>
                <w:rFonts w:ascii="Times New Roman" w:hAnsi="Times New Roman"/>
                <w:color w:val="000000"/>
                <w:kern w:val="0"/>
                <w:sz w:val="22"/>
              </w:rPr>
              <w:t>①项目是否有绩效目标；</w:t>
            </w:r>
          </w:p>
          <w:p>
            <w:pPr>
              <w:widowControl/>
              <w:spacing w:line="0" w:lineRule="atLeast"/>
              <w:jc w:val="left"/>
              <w:rPr>
                <w:rFonts w:hint="eastAsia" w:ascii="Times New Roman" w:hAnsi="Times New Roman" w:eastAsia="宋体"/>
                <w:color w:val="000000"/>
                <w:kern w:val="0"/>
                <w:sz w:val="22"/>
                <w:lang w:eastAsia="zh-CN"/>
              </w:rPr>
            </w:pPr>
            <w:r>
              <w:rPr>
                <w:rFonts w:ascii="Times New Roman" w:hAnsi="Times New Roman"/>
                <w:color w:val="000000"/>
                <w:kern w:val="0"/>
                <w:sz w:val="22"/>
              </w:rPr>
              <w:t>②项目绩效目标与实际工作内容是否具有相关性；</w:t>
            </w:r>
          </w:p>
          <w:p>
            <w:pPr>
              <w:widowControl/>
              <w:spacing w:line="0" w:lineRule="atLeast"/>
              <w:jc w:val="left"/>
              <w:rPr>
                <w:rFonts w:ascii="Times New Roman" w:hAnsi="Times New Roman"/>
                <w:color w:val="000000"/>
                <w:kern w:val="0"/>
                <w:sz w:val="22"/>
              </w:rPr>
            </w:pPr>
            <w:r>
              <w:rPr>
                <w:rFonts w:ascii="Times New Roman" w:hAnsi="Times New Roman"/>
                <w:color w:val="000000"/>
                <w:kern w:val="0"/>
                <w:sz w:val="22"/>
              </w:rPr>
              <w:t>③项目预期产出效益和效果是否符合正常的业绩水平；</w:t>
            </w:r>
          </w:p>
          <w:p>
            <w:pPr>
              <w:widowControl/>
              <w:spacing w:line="0" w:lineRule="atLeast"/>
              <w:jc w:val="left"/>
              <w:rPr>
                <w:rFonts w:ascii="Times New Roman" w:hAnsi="Times New Roman"/>
                <w:color w:val="000000"/>
                <w:kern w:val="0"/>
                <w:sz w:val="22"/>
              </w:rPr>
            </w:pPr>
            <w:r>
              <w:rPr>
                <w:rFonts w:ascii="Times New Roman" w:hAnsi="Times New Roman"/>
                <w:color w:val="000000"/>
                <w:kern w:val="0"/>
                <w:sz w:val="22"/>
              </w:rPr>
              <w:t>④是否与预算确定的项目投资额或资金量相匹配。</w:t>
            </w:r>
          </w:p>
        </w:tc>
        <w:tc>
          <w:tcPr>
            <w:tcW w:w="1830" w:type="dxa"/>
            <w:shd w:val="clear" w:color="auto" w:fill="FFFFFF"/>
            <w:vAlign w:val="center"/>
          </w:tcPr>
          <w:p>
            <w:pPr>
              <w:widowControl/>
              <w:spacing w:line="0" w:lineRule="atLeast"/>
              <w:jc w:val="center"/>
              <w:rPr>
                <w:rFonts w:hint="eastAsia" w:ascii="Times New Roman" w:hAnsi="Times New Roman" w:eastAsia="宋体"/>
                <w:color w:val="000000"/>
                <w:kern w:val="0"/>
                <w:sz w:val="22"/>
                <w:lang w:val="en-US" w:eastAsia="zh-CN"/>
              </w:rPr>
            </w:pPr>
            <w:r>
              <w:rPr>
                <w:rFonts w:ascii="Times New Roman" w:hAnsi="Times New Roman"/>
                <w:color w:val="000000"/>
                <w:kern w:val="0"/>
                <w:sz w:val="22"/>
              </w:rPr>
              <w:t>项目有绩效目</w:t>
            </w:r>
            <w:r>
              <w:rPr>
                <w:rFonts w:hint="eastAsia" w:ascii="Times New Roman" w:hAnsi="Times New Roman"/>
                <w:color w:val="000000"/>
                <w:kern w:val="0"/>
                <w:sz w:val="22"/>
                <w:lang w:eastAsia="zh-CN"/>
              </w:rPr>
              <w:t>标得</w:t>
            </w:r>
            <w:r>
              <w:rPr>
                <w:rFonts w:hint="eastAsia" w:ascii="Times New Roman" w:hAnsi="Times New Roman"/>
                <w:color w:val="000000"/>
                <w:kern w:val="0"/>
                <w:sz w:val="22"/>
                <w:lang w:val="en-US" w:eastAsia="zh-CN"/>
              </w:rPr>
              <w:t>1分，</w:t>
            </w:r>
            <w:r>
              <w:rPr>
                <w:rFonts w:ascii="Times New Roman" w:hAnsi="Times New Roman"/>
                <w:color w:val="000000"/>
                <w:kern w:val="0"/>
                <w:sz w:val="22"/>
              </w:rPr>
              <w:t>绩效目标依据充分</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p>
          <w:p>
            <w:pPr>
              <w:widowControl/>
              <w:spacing w:line="0" w:lineRule="atLeast"/>
              <w:jc w:val="center"/>
              <w:rPr>
                <w:rFonts w:hint="default" w:ascii="Times New Roman" w:hAnsi="Times New Roman" w:eastAsia="宋体"/>
                <w:color w:val="000000"/>
                <w:kern w:val="0"/>
                <w:sz w:val="22"/>
                <w:lang w:val="en-US" w:eastAsia="zh-CN"/>
              </w:rPr>
            </w:pPr>
            <w:r>
              <w:rPr>
                <w:rFonts w:ascii="Times New Roman" w:hAnsi="Times New Roman"/>
                <w:color w:val="000000"/>
                <w:kern w:val="0"/>
                <w:sz w:val="22"/>
              </w:rPr>
              <w:t>符合客观实际</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1分，与资金量相匹配得1分，缺一项扣1分</w:t>
            </w:r>
          </w:p>
        </w:tc>
        <w:tc>
          <w:tcPr>
            <w:tcW w:w="480" w:type="dxa"/>
            <w:shd w:val="clear" w:color="auto" w:fill="FFFFFF"/>
            <w:vAlign w:val="center"/>
          </w:tcPr>
          <w:p>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682" w:type="dxa"/>
            <w:vMerge w:val="restart"/>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决策　</w:t>
            </w:r>
          </w:p>
        </w:tc>
        <w:tc>
          <w:tcPr>
            <w:tcW w:w="709" w:type="dxa"/>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绩效目标</w:t>
            </w:r>
          </w:p>
        </w:tc>
        <w:tc>
          <w:tcPr>
            <w:tcW w:w="1134" w:type="dxa"/>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绩效指标</w:t>
            </w:r>
          </w:p>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明确性</w:t>
            </w:r>
          </w:p>
        </w:tc>
        <w:tc>
          <w:tcPr>
            <w:tcW w:w="567" w:type="dxa"/>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4</w:t>
            </w:r>
          </w:p>
        </w:tc>
        <w:tc>
          <w:tcPr>
            <w:tcW w:w="2579" w:type="dxa"/>
            <w:shd w:val="clear" w:color="auto" w:fill="FFFFFF"/>
            <w:vAlign w:val="center"/>
          </w:tcPr>
          <w:p>
            <w:pPr>
              <w:widowControl/>
              <w:spacing w:line="0" w:lineRule="atLeast"/>
              <w:rPr>
                <w:rFonts w:ascii="Times New Roman" w:hAnsi="Times New Roman"/>
                <w:color w:val="000000"/>
                <w:kern w:val="0"/>
                <w:sz w:val="22"/>
              </w:rPr>
            </w:pPr>
            <w:r>
              <w:rPr>
                <w:rFonts w:ascii="Times New Roman" w:hAnsi="Times New Roman"/>
                <w:color w:val="000000"/>
                <w:kern w:val="0"/>
                <w:sz w:val="22"/>
              </w:rPr>
              <w:t>依据绩效目标设定的绩效指标是否清晰、细化、可衡量等，用以反映和考核项目绩效目标的明细化情况。</w:t>
            </w:r>
          </w:p>
        </w:tc>
        <w:tc>
          <w:tcPr>
            <w:tcW w:w="5265" w:type="dxa"/>
            <w:shd w:val="clear" w:color="auto" w:fill="FFFFFF"/>
            <w:vAlign w:val="center"/>
          </w:tcPr>
          <w:p>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评价要点：</w:t>
            </w:r>
          </w:p>
          <w:p>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①是否将项目绩效目标细化分解为具体的绩效指标；</w:t>
            </w:r>
          </w:p>
          <w:p>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②是否通过清晰、可衡量的指标值予以体现；</w:t>
            </w:r>
          </w:p>
          <w:p>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③是否与项目目标任务数或计划数相对应。</w:t>
            </w:r>
          </w:p>
          <w:p>
            <w:pPr>
              <w:widowControl/>
              <w:spacing w:line="0" w:lineRule="atLeast"/>
              <w:rPr>
                <w:rFonts w:hint="eastAsia" w:ascii="Times New Roman" w:hAnsi="Times New Roman" w:eastAsia="宋体"/>
                <w:color w:val="000000"/>
                <w:kern w:val="0"/>
                <w:sz w:val="22"/>
                <w:lang w:eastAsia="zh-CN"/>
              </w:rPr>
            </w:pPr>
          </w:p>
        </w:tc>
        <w:tc>
          <w:tcPr>
            <w:tcW w:w="1830" w:type="dxa"/>
            <w:shd w:val="clear" w:color="auto" w:fill="FFFFFF"/>
            <w:vAlign w:val="center"/>
          </w:tcPr>
          <w:p>
            <w:pPr>
              <w:widowControl/>
              <w:spacing w:line="0" w:lineRule="atLeast"/>
              <w:jc w:val="center"/>
              <w:rPr>
                <w:rFonts w:hint="eastAsia" w:ascii="Times New Roman" w:hAnsi="Times New Roman" w:eastAsia="宋体"/>
                <w:color w:val="000000"/>
                <w:kern w:val="0"/>
                <w:sz w:val="22"/>
                <w:lang w:val="en-US" w:eastAsia="zh-CN"/>
              </w:rPr>
            </w:pPr>
            <w:r>
              <w:rPr>
                <w:rFonts w:ascii="Times New Roman" w:hAnsi="Times New Roman"/>
                <w:color w:val="000000"/>
                <w:kern w:val="0"/>
                <w:sz w:val="22"/>
              </w:rPr>
              <w:t>将项目绩效目标细化分解为具体的绩效指标</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2分，指标值清晰得2分缺一项扣2分</w:t>
            </w:r>
          </w:p>
          <w:p>
            <w:pPr>
              <w:widowControl/>
              <w:spacing w:line="0" w:lineRule="atLeast"/>
              <w:jc w:val="center"/>
              <w:rPr>
                <w:rFonts w:hint="eastAsia" w:ascii="Times New Roman" w:hAnsi="Times New Roman" w:eastAsia="宋体"/>
                <w:color w:val="000000"/>
                <w:kern w:val="0"/>
                <w:sz w:val="22"/>
                <w:lang w:val="en-US" w:eastAsia="zh-CN"/>
              </w:rPr>
            </w:pPr>
          </w:p>
        </w:tc>
        <w:tc>
          <w:tcPr>
            <w:tcW w:w="480" w:type="dxa"/>
            <w:shd w:val="clear" w:color="auto" w:fill="FFFFFF"/>
            <w:vAlign w:val="center"/>
          </w:tcPr>
          <w:p>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682" w:type="dxa"/>
            <w:vMerge w:val="continue"/>
            <w:shd w:val="clear" w:color="auto" w:fill="FFFFFF"/>
            <w:vAlign w:val="center"/>
          </w:tcPr>
          <w:p>
            <w:pPr>
              <w:spacing w:line="0" w:lineRule="atLeast"/>
              <w:jc w:val="center"/>
              <w:rPr>
                <w:rFonts w:ascii="Times New Roman" w:hAnsi="Times New Roman"/>
                <w:color w:val="000000"/>
                <w:kern w:val="0"/>
                <w:sz w:val="22"/>
              </w:rPr>
            </w:pPr>
          </w:p>
        </w:tc>
        <w:tc>
          <w:tcPr>
            <w:tcW w:w="709" w:type="dxa"/>
            <w:vMerge w:val="restart"/>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资金投入</w:t>
            </w:r>
          </w:p>
          <w:p>
            <w:pPr>
              <w:spacing w:line="0" w:lineRule="atLeast"/>
              <w:jc w:val="center"/>
              <w:rPr>
                <w:rFonts w:ascii="Times New Roman" w:hAnsi="Times New Roman"/>
                <w:color w:val="000000"/>
                <w:kern w:val="0"/>
                <w:sz w:val="22"/>
              </w:rPr>
            </w:pPr>
            <w:r>
              <w:rPr>
                <w:rFonts w:ascii="Times New Roman" w:hAnsi="Times New Roman"/>
                <w:color w:val="000000"/>
                <w:kern w:val="0"/>
                <w:sz w:val="22"/>
              </w:rPr>
              <w:t>　</w:t>
            </w:r>
          </w:p>
        </w:tc>
        <w:tc>
          <w:tcPr>
            <w:tcW w:w="1134" w:type="dxa"/>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预算编制</w:t>
            </w:r>
          </w:p>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科学性</w:t>
            </w:r>
          </w:p>
        </w:tc>
        <w:tc>
          <w:tcPr>
            <w:tcW w:w="567" w:type="dxa"/>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3</w:t>
            </w:r>
          </w:p>
        </w:tc>
        <w:tc>
          <w:tcPr>
            <w:tcW w:w="2579" w:type="dxa"/>
            <w:shd w:val="clear" w:color="auto" w:fill="FFFFFF"/>
            <w:vAlign w:val="center"/>
          </w:tcPr>
          <w:p>
            <w:pPr>
              <w:widowControl/>
              <w:spacing w:line="0" w:lineRule="atLeast"/>
              <w:rPr>
                <w:rFonts w:ascii="Times New Roman" w:hAnsi="Times New Roman"/>
                <w:color w:val="000000"/>
                <w:kern w:val="0"/>
                <w:sz w:val="22"/>
              </w:rPr>
            </w:pPr>
            <w:r>
              <w:rPr>
                <w:rFonts w:ascii="Times New Roman" w:hAnsi="Times New Roman"/>
                <w:color w:val="000000"/>
                <w:kern w:val="0"/>
                <w:sz w:val="22"/>
              </w:rPr>
              <w:t>项目预算编制是否经过科学论证、有明确标准，资金额度与年度目标是否相适应，用以反映和考核项目预算编制的科学性、合理性情况。</w:t>
            </w:r>
          </w:p>
        </w:tc>
        <w:tc>
          <w:tcPr>
            <w:tcW w:w="5265" w:type="dxa"/>
            <w:shd w:val="clear" w:color="auto" w:fill="FFFFFF"/>
            <w:vAlign w:val="center"/>
          </w:tcPr>
          <w:p>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评价要点：</w:t>
            </w:r>
          </w:p>
          <w:p>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①预算编制是否经过科学论证；</w:t>
            </w:r>
          </w:p>
          <w:p>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②预算内容与项目内容是否匹配；</w:t>
            </w:r>
          </w:p>
          <w:p>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③预算额度测算依据是否充分，是否按照标准编制；</w:t>
            </w:r>
          </w:p>
          <w:p>
            <w:pPr>
              <w:widowControl/>
              <w:spacing w:line="0" w:lineRule="atLeast"/>
              <w:rPr>
                <w:rFonts w:ascii="Times New Roman" w:hAnsi="Times New Roman"/>
                <w:color w:val="000000"/>
                <w:kern w:val="0"/>
                <w:sz w:val="22"/>
              </w:rPr>
            </w:pPr>
            <w:r>
              <w:rPr>
                <w:rFonts w:ascii="Times New Roman" w:hAnsi="Times New Roman"/>
                <w:color w:val="000000"/>
                <w:kern w:val="0"/>
                <w:sz w:val="22"/>
              </w:rPr>
              <w:t>④预算确定的项目投资额或资金量是否与工作任务相匹配。</w:t>
            </w:r>
          </w:p>
        </w:tc>
        <w:tc>
          <w:tcPr>
            <w:tcW w:w="1830" w:type="dxa"/>
            <w:shd w:val="clear" w:color="auto" w:fill="FFFFFF"/>
            <w:vAlign w:val="center"/>
          </w:tcPr>
          <w:p>
            <w:pPr>
              <w:widowControl/>
              <w:spacing w:line="0" w:lineRule="atLeast"/>
              <w:jc w:val="center"/>
              <w:rPr>
                <w:rFonts w:hint="default" w:ascii="Times New Roman" w:hAnsi="Times New Roman" w:eastAsia="宋体"/>
                <w:color w:val="000000"/>
                <w:kern w:val="0"/>
                <w:sz w:val="22"/>
                <w:lang w:val="en-US" w:eastAsia="zh-CN"/>
              </w:rPr>
            </w:pPr>
            <w:r>
              <w:rPr>
                <w:rFonts w:ascii="Times New Roman" w:hAnsi="Times New Roman"/>
                <w:color w:val="000000"/>
                <w:kern w:val="0"/>
                <w:sz w:val="22"/>
              </w:rPr>
              <w:t>预算编制经过科学论证</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1分，内容与项目匹配1分，按照标准编制得0.5分，资金与工作任务匹配0.5分，缺项对应项不得分</w:t>
            </w:r>
          </w:p>
        </w:tc>
        <w:tc>
          <w:tcPr>
            <w:tcW w:w="480" w:type="dxa"/>
            <w:shd w:val="clear" w:color="auto" w:fill="FFFFFF"/>
            <w:vAlign w:val="center"/>
          </w:tcPr>
          <w:p>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682" w:type="dxa"/>
            <w:vMerge w:val="continue"/>
            <w:shd w:val="clear" w:color="auto" w:fill="FFFFFF"/>
            <w:vAlign w:val="center"/>
          </w:tcPr>
          <w:p>
            <w:pPr>
              <w:widowControl/>
              <w:spacing w:line="0" w:lineRule="atLeast"/>
              <w:jc w:val="center"/>
              <w:rPr>
                <w:rFonts w:ascii="Times New Roman" w:hAnsi="Times New Roman"/>
                <w:color w:val="000000"/>
                <w:kern w:val="0"/>
                <w:sz w:val="22"/>
              </w:rPr>
            </w:pPr>
          </w:p>
        </w:tc>
        <w:tc>
          <w:tcPr>
            <w:tcW w:w="709" w:type="dxa"/>
            <w:vMerge w:val="continue"/>
            <w:shd w:val="clear" w:color="auto" w:fill="FFFFFF"/>
            <w:vAlign w:val="center"/>
          </w:tcPr>
          <w:p>
            <w:pPr>
              <w:widowControl/>
              <w:spacing w:line="0" w:lineRule="atLeast"/>
              <w:jc w:val="center"/>
              <w:rPr>
                <w:rFonts w:ascii="Times New Roman" w:hAnsi="Times New Roman"/>
                <w:color w:val="000000"/>
                <w:kern w:val="0"/>
                <w:sz w:val="22"/>
              </w:rPr>
            </w:pPr>
          </w:p>
        </w:tc>
        <w:tc>
          <w:tcPr>
            <w:tcW w:w="1134" w:type="dxa"/>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资金分配</w:t>
            </w:r>
          </w:p>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合理性</w:t>
            </w:r>
          </w:p>
        </w:tc>
        <w:tc>
          <w:tcPr>
            <w:tcW w:w="567" w:type="dxa"/>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3</w:t>
            </w:r>
          </w:p>
        </w:tc>
        <w:tc>
          <w:tcPr>
            <w:tcW w:w="2579" w:type="dxa"/>
            <w:shd w:val="clear" w:color="auto" w:fill="FFFFFF"/>
            <w:vAlign w:val="center"/>
          </w:tcPr>
          <w:p>
            <w:pPr>
              <w:widowControl/>
              <w:spacing w:line="0" w:lineRule="atLeast"/>
              <w:rPr>
                <w:rFonts w:ascii="Times New Roman" w:hAnsi="Times New Roman"/>
                <w:color w:val="000000"/>
                <w:kern w:val="0"/>
                <w:sz w:val="22"/>
              </w:rPr>
            </w:pPr>
            <w:r>
              <w:rPr>
                <w:rFonts w:ascii="Times New Roman" w:hAnsi="Times New Roman"/>
                <w:color w:val="000000"/>
                <w:kern w:val="0"/>
                <w:sz w:val="22"/>
              </w:rPr>
              <w:t>项目预算资金分配是否有测算依据，与补助单位或地方实际是否相适应，用以反映和考核项目预算资金分配的科学性、合理性情况。</w:t>
            </w:r>
          </w:p>
        </w:tc>
        <w:tc>
          <w:tcPr>
            <w:tcW w:w="5265" w:type="dxa"/>
            <w:shd w:val="clear" w:color="auto" w:fill="FFFFFF"/>
            <w:vAlign w:val="center"/>
          </w:tcPr>
          <w:p>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评价要点：</w:t>
            </w:r>
          </w:p>
          <w:p>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①预算资金分配依据是否充分；</w:t>
            </w:r>
          </w:p>
          <w:p>
            <w:pPr>
              <w:widowControl/>
              <w:spacing w:line="0" w:lineRule="atLeast"/>
              <w:rPr>
                <w:rFonts w:ascii="Times New Roman" w:hAnsi="Times New Roman"/>
                <w:color w:val="000000"/>
                <w:kern w:val="0"/>
                <w:sz w:val="22"/>
              </w:rPr>
            </w:pPr>
            <w:r>
              <w:rPr>
                <w:rFonts w:ascii="Times New Roman" w:hAnsi="Times New Roman"/>
                <w:color w:val="000000"/>
                <w:kern w:val="0"/>
                <w:sz w:val="22"/>
              </w:rPr>
              <w:t>②资金分配额度是否合理，与项目单位或地方实际是否相适应。</w:t>
            </w:r>
          </w:p>
        </w:tc>
        <w:tc>
          <w:tcPr>
            <w:tcW w:w="1830" w:type="dxa"/>
            <w:shd w:val="clear" w:color="auto" w:fill="FFFFFF"/>
            <w:vAlign w:val="center"/>
          </w:tcPr>
          <w:p>
            <w:pPr>
              <w:widowControl/>
              <w:spacing w:line="0" w:lineRule="atLeast"/>
              <w:jc w:val="center"/>
              <w:rPr>
                <w:rFonts w:hint="default" w:ascii="Times New Roman" w:hAnsi="Times New Roman" w:eastAsia="宋体"/>
                <w:color w:val="000000"/>
                <w:kern w:val="0"/>
                <w:sz w:val="22"/>
                <w:lang w:val="en-US" w:eastAsia="zh-CN"/>
              </w:rPr>
            </w:pPr>
            <w:r>
              <w:rPr>
                <w:rFonts w:ascii="Times New Roman" w:hAnsi="Times New Roman"/>
                <w:color w:val="000000"/>
                <w:kern w:val="0"/>
                <w:sz w:val="22"/>
              </w:rPr>
              <w:t>预算资金分配依据充分</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r>
              <w:rPr>
                <w:rFonts w:ascii="Times New Roman" w:hAnsi="Times New Roman"/>
                <w:color w:val="000000"/>
                <w:kern w:val="0"/>
                <w:sz w:val="22"/>
              </w:rPr>
              <w:t>资金分配额度合理</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2分，缺一项扣1分</w:t>
            </w:r>
          </w:p>
        </w:tc>
        <w:tc>
          <w:tcPr>
            <w:tcW w:w="480" w:type="dxa"/>
            <w:shd w:val="clear" w:color="auto" w:fill="FFFFFF"/>
            <w:vAlign w:val="center"/>
          </w:tcPr>
          <w:p>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682" w:type="dxa"/>
            <w:vMerge w:val="restart"/>
            <w:shd w:val="clear" w:color="auto" w:fill="FFFFFF"/>
            <w:vAlign w:val="center"/>
          </w:tcPr>
          <w:p>
            <w:pPr>
              <w:spacing w:line="0" w:lineRule="atLeast"/>
              <w:jc w:val="center"/>
              <w:rPr>
                <w:rFonts w:ascii="Times New Roman" w:hAnsi="Times New Roman"/>
                <w:color w:val="000000"/>
                <w:kern w:val="0"/>
                <w:sz w:val="22"/>
              </w:rPr>
            </w:pPr>
            <w:r>
              <w:rPr>
                <w:rFonts w:ascii="Times New Roman" w:hAnsi="Times New Roman"/>
                <w:color w:val="000000"/>
                <w:kern w:val="0"/>
                <w:sz w:val="22"/>
              </w:rPr>
              <w:t>过程</w:t>
            </w:r>
          </w:p>
        </w:tc>
        <w:tc>
          <w:tcPr>
            <w:tcW w:w="709" w:type="dxa"/>
            <w:vMerge w:val="restart"/>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资金管理</w:t>
            </w:r>
          </w:p>
        </w:tc>
        <w:tc>
          <w:tcPr>
            <w:tcW w:w="1134" w:type="dxa"/>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资金到位率</w:t>
            </w:r>
          </w:p>
        </w:tc>
        <w:tc>
          <w:tcPr>
            <w:tcW w:w="567" w:type="dxa"/>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3</w:t>
            </w:r>
          </w:p>
        </w:tc>
        <w:tc>
          <w:tcPr>
            <w:tcW w:w="2579" w:type="dxa"/>
            <w:shd w:val="clear" w:color="auto" w:fill="FFFFFF"/>
            <w:vAlign w:val="center"/>
          </w:tcPr>
          <w:p>
            <w:pPr>
              <w:widowControl/>
              <w:spacing w:line="0" w:lineRule="atLeast"/>
              <w:rPr>
                <w:rFonts w:ascii="Times New Roman" w:hAnsi="Times New Roman"/>
                <w:color w:val="000000"/>
                <w:kern w:val="0"/>
                <w:sz w:val="22"/>
              </w:rPr>
            </w:pPr>
            <w:r>
              <w:rPr>
                <w:rFonts w:ascii="Times New Roman" w:hAnsi="Times New Roman"/>
                <w:color w:val="000000"/>
                <w:kern w:val="0"/>
                <w:sz w:val="22"/>
              </w:rPr>
              <w:t>实际到位资金与预算资金的比率，用以反映和考核资金落实情况对项目实施的总体保障程度。</w:t>
            </w:r>
          </w:p>
        </w:tc>
        <w:tc>
          <w:tcPr>
            <w:tcW w:w="5265" w:type="dxa"/>
            <w:shd w:val="clear" w:color="auto" w:fill="FFFFFF"/>
            <w:vAlign w:val="center"/>
          </w:tcPr>
          <w:p>
            <w:pPr>
              <w:widowControl/>
              <w:spacing w:line="0" w:lineRule="atLeast"/>
              <w:rPr>
                <w:rFonts w:ascii="Times New Roman" w:hAnsi="Times New Roman"/>
                <w:color w:val="000000"/>
                <w:kern w:val="0"/>
                <w:sz w:val="22"/>
              </w:rPr>
            </w:pPr>
            <w:r>
              <w:rPr>
                <w:rFonts w:ascii="Times New Roman" w:hAnsi="Times New Roman"/>
                <w:color w:val="000000"/>
                <w:kern w:val="0"/>
                <w:sz w:val="22"/>
              </w:rPr>
              <w:t>资金到位率=（实际到位资金/预算资金）×100%。</w:t>
            </w:r>
          </w:p>
          <w:p>
            <w:pPr>
              <w:widowControl/>
              <w:spacing w:line="0" w:lineRule="atLeast"/>
              <w:rPr>
                <w:rFonts w:ascii="Times New Roman" w:hAnsi="Times New Roman"/>
                <w:color w:val="000000"/>
                <w:kern w:val="0"/>
                <w:sz w:val="22"/>
              </w:rPr>
            </w:pPr>
            <w:r>
              <w:rPr>
                <w:rFonts w:ascii="Times New Roman" w:hAnsi="Times New Roman"/>
                <w:color w:val="000000"/>
                <w:kern w:val="0"/>
                <w:sz w:val="22"/>
              </w:rPr>
              <w:t>实际到位资金：一定时期（本年度或项目期）内落实到具体项目的资金。</w:t>
            </w:r>
          </w:p>
          <w:p>
            <w:pPr>
              <w:widowControl/>
              <w:spacing w:line="0" w:lineRule="atLeast"/>
              <w:rPr>
                <w:rFonts w:ascii="Times New Roman" w:hAnsi="Times New Roman"/>
                <w:color w:val="000000"/>
                <w:kern w:val="0"/>
                <w:sz w:val="22"/>
              </w:rPr>
            </w:pPr>
            <w:r>
              <w:rPr>
                <w:rFonts w:ascii="Times New Roman" w:hAnsi="Times New Roman"/>
                <w:color w:val="000000"/>
                <w:kern w:val="0"/>
                <w:sz w:val="22"/>
              </w:rPr>
              <w:t>预算资金：一定时期（本年度或项目期）内预算安排到具体项目的资金。</w:t>
            </w:r>
          </w:p>
        </w:tc>
        <w:tc>
          <w:tcPr>
            <w:tcW w:w="1830" w:type="dxa"/>
            <w:shd w:val="clear" w:color="auto" w:fill="FFFFFF"/>
            <w:vAlign w:val="center"/>
          </w:tcPr>
          <w:p>
            <w:pPr>
              <w:widowControl/>
              <w:spacing w:line="0" w:lineRule="atLeast"/>
              <w:jc w:val="center"/>
              <w:rPr>
                <w:rFonts w:hint="default" w:ascii="Times New Roman" w:hAnsi="Times New Roman" w:eastAsia="宋体"/>
                <w:color w:val="000000"/>
                <w:kern w:val="0"/>
                <w:sz w:val="22"/>
                <w:lang w:val="en-US" w:eastAsia="zh-CN"/>
              </w:rPr>
            </w:pPr>
            <w:r>
              <w:rPr>
                <w:rFonts w:ascii="Times New Roman" w:hAnsi="Times New Roman"/>
                <w:color w:val="000000"/>
                <w:kern w:val="0"/>
                <w:sz w:val="22"/>
              </w:rPr>
              <w:t>资金到位率</w:t>
            </w:r>
            <w:r>
              <w:rPr>
                <w:rFonts w:hint="eastAsia" w:ascii="Times New Roman" w:hAnsi="Times New Roman"/>
                <w:color w:val="000000"/>
                <w:kern w:val="0"/>
                <w:sz w:val="22"/>
                <w:lang w:val="en-US" w:eastAsia="zh-CN"/>
              </w:rPr>
              <w:t>100%得3分，每每减少5%扣1分</w:t>
            </w:r>
          </w:p>
        </w:tc>
        <w:tc>
          <w:tcPr>
            <w:tcW w:w="480" w:type="dxa"/>
            <w:shd w:val="clear" w:color="auto" w:fill="FFFFFF"/>
            <w:vAlign w:val="center"/>
          </w:tcPr>
          <w:p>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682" w:type="dxa"/>
            <w:vMerge w:val="continue"/>
            <w:shd w:val="clear" w:color="auto" w:fill="FFFFFF"/>
            <w:vAlign w:val="center"/>
          </w:tcPr>
          <w:p>
            <w:pPr>
              <w:spacing w:line="0" w:lineRule="atLeast"/>
              <w:jc w:val="center"/>
              <w:rPr>
                <w:rFonts w:ascii="Times New Roman" w:hAnsi="Times New Roman"/>
                <w:color w:val="000000"/>
                <w:kern w:val="0"/>
                <w:sz w:val="22"/>
              </w:rPr>
            </w:pPr>
          </w:p>
        </w:tc>
        <w:tc>
          <w:tcPr>
            <w:tcW w:w="709" w:type="dxa"/>
            <w:vMerge w:val="continue"/>
            <w:shd w:val="clear" w:color="auto" w:fill="FFFFFF"/>
            <w:vAlign w:val="center"/>
          </w:tcPr>
          <w:p>
            <w:pPr>
              <w:spacing w:line="0" w:lineRule="atLeast"/>
              <w:jc w:val="center"/>
              <w:rPr>
                <w:rFonts w:ascii="Times New Roman" w:hAnsi="Times New Roman"/>
                <w:color w:val="000000"/>
                <w:kern w:val="0"/>
                <w:sz w:val="22"/>
              </w:rPr>
            </w:pPr>
          </w:p>
        </w:tc>
        <w:tc>
          <w:tcPr>
            <w:tcW w:w="1134" w:type="dxa"/>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预算执行率</w:t>
            </w:r>
          </w:p>
        </w:tc>
        <w:tc>
          <w:tcPr>
            <w:tcW w:w="567" w:type="dxa"/>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4</w:t>
            </w:r>
          </w:p>
        </w:tc>
        <w:tc>
          <w:tcPr>
            <w:tcW w:w="2579" w:type="dxa"/>
            <w:shd w:val="clear" w:color="auto" w:fill="FFFFFF"/>
            <w:vAlign w:val="center"/>
          </w:tcPr>
          <w:p>
            <w:pPr>
              <w:widowControl/>
              <w:spacing w:line="0" w:lineRule="atLeast"/>
              <w:rPr>
                <w:rFonts w:ascii="Times New Roman" w:hAnsi="Times New Roman"/>
                <w:color w:val="000000"/>
                <w:kern w:val="0"/>
                <w:sz w:val="22"/>
              </w:rPr>
            </w:pPr>
            <w:r>
              <w:rPr>
                <w:rFonts w:ascii="Times New Roman" w:hAnsi="Times New Roman"/>
                <w:color w:val="000000"/>
                <w:kern w:val="0"/>
                <w:sz w:val="22"/>
              </w:rPr>
              <w:t>项目预算资金是否按照计划执行，用以反映或考核项目预算执行情况。</w:t>
            </w:r>
          </w:p>
        </w:tc>
        <w:tc>
          <w:tcPr>
            <w:tcW w:w="5265" w:type="dxa"/>
            <w:shd w:val="clear" w:color="auto" w:fill="FFFFFF"/>
            <w:vAlign w:val="center"/>
          </w:tcPr>
          <w:p>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预算执行率=（实际支出资金/实际到位资金）×100%。</w:t>
            </w:r>
          </w:p>
          <w:p>
            <w:pPr>
              <w:widowControl/>
              <w:spacing w:line="0" w:lineRule="atLeast"/>
              <w:rPr>
                <w:rFonts w:ascii="Times New Roman" w:hAnsi="Times New Roman"/>
                <w:color w:val="000000"/>
                <w:kern w:val="0"/>
                <w:sz w:val="22"/>
              </w:rPr>
            </w:pPr>
            <w:r>
              <w:rPr>
                <w:rFonts w:ascii="Times New Roman" w:hAnsi="Times New Roman"/>
                <w:color w:val="000000"/>
                <w:kern w:val="0"/>
                <w:sz w:val="22"/>
              </w:rPr>
              <w:t>实际支出资金：一定时期（本年度或项目期）内项目实际拨付的资金。</w:t>
            </w:r>
          </w:p>
        </w:tc>
        <w:tc>
          <w:tcPr>
            <w:tcW w:w="1830" w:type="dxa"/>
            <w:shd w:val="clear" w:color="auto" w:fill="FFFFFF"/>
            <w:vAlign w:val="center"/>
          </w:tcPr>
          <w:p>
            <w:pPr>
              <w:widowControl/>
              <w:spacing w:line="0" w:lineRule="atLeast"/>
              <w:jc w:val="center"/>
              <w:rPr>
                <w:rFonts w:hint="default" w:ascii="Times New Roman" w:hAnsi="Times New Roman" w:eastAsia="宋体"/>
                <w:color w:val="000000"/>
                <w:kern w:val="0"/>
                <w:sz w:val="22"/>
                <w:lang w:val="en-US" w:eastAsia="zh-CN"/>
              </w:rPr>
            </w:pPr>
            <w:r>
              <w:rPr>
                <w:rFonts w:ascii="Times New Roman" w:hAnsi="Times New Roman"/>
                <w:color w:val="000000"/>
                <w:kern w:val="0"/>
                <w:sz w:val="22"/>
              </w:rPr>
              <w:t>预算执行率</w:t>
            </w:r>
            <w:r>
              <w:rPr>
                <w:rFonts w:hint="eastAsia" w:ascii="Times New Roman" w:hAnsi="Times New Roman"/>
                <w:color w:val="000000"/>
                <w:kern w:val="0"/>
                <w:sz w:val="22"/>
                <w:lang w:val="en-US" w:eastAsia="zh-CN"/>
              </w:rPr>
              <w:t>100%得4分每减少5%扣1分</w:t>
            </w:r>
          </w:p>
        </w:tc>
        <w:tc>
          <w:tcPr>
            <w:tcW w:w="480" w:type="dxa"/>
            <w:shd w:val="clear" w:color="auto" w:fill="FFFFFF"/>
            <w:vAlign w:val="center"/>
          </w:tcPr>
          <w:p>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682" w:type="dxa"/>
            <w:vMerge w:val="restart"/>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　</w:t>
            </w:r>
          </w:p>
          <w:p>
            <w:pPr>
              <w:spacing w:line="0" w:lineRule="atLeast"/>
              <w:jc w:val="center"/>
              <w:rPr>
                <w:rFonts w:ascii="Times New Roman" w:hAnsi="Times New Roman"/>
                <w:color w:val="000000"/>
                <w:kern w:val="0"/>
                <w:sz w:val="22"/>
              </w:rPr>
            </w:pPr>
            <w:r>
              <w:rPr>
                <w:rFonts w:ascii="Times New Roman" w:hAnsi="Times New Roman"/>
                <w:color w:val="000000"/>
                <w:kern w:val="0"/>
                <w:sz w:val="22"/>
              </w:rPr>
              <w:t>过程　</w:t>
            </w:r>
          </w:p>
        </w:tc>
        <w:tc>
          <w:tcPr>
            <w:tcW w:w="709" w:type="dxa"/>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资金管理</w:t>
            </w:r>
          </w:p>
        </w:tc>
        <w:tc>
          <w:tcPr>
            <w:tcW w:w="1134" w:type="dxa"/>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资金使用</w:t>
            </w:r>
          </w:p>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合规性</w:t>
            </w:r>
          </w:p>
        </w:tc>
        <w:tc>
          <w:tcPr>
            <w:tcW w:w="567" w:type="dxa"/>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4</w:t>
            </w:r>
          </w:p>
        </w:tc>
        <w:tc>
          <w:tcPr>
            <w:tcW w:w="2579" w:type="dxa"/>
            <w:shd w:val="clear" w:color="auto" w:fill="FFFFFF"/>
            <w:vAlign w:val="center"/>
          </w:tcPr>
          <w:p>
            <w:pPr>
              <w:widowControl/>
              <w:spacing w:line="0" w:lineRule="atLeast"/>
              <w:rPr>
                <w:rFonts w:ascii="Times New Roman" w:hAnsi="Times New Roman"/>
                <w:color w:val="000000"/>
                <w:kern w:val="0"/>
                <w:sz w:val="22"/>
              </w:rPr>
            </w:pPr>
            <w:r>
              <w:rPr>
                <w:rFonts w:ascii="Times New Roman" w:hAnsi="Times New Roman"/>
                <w:color w:val="000000"/>
                <w:kern w:val="0"/>
                <w:sz w:val="22"/>
              </w:rPr>
              <w:t>项目资金使用是否符合相关的财务管理制度规定，用以反映和考核项目资金的规范运行情况。</w:t>
            </w:r>
          </w:p>
        </w:tc>
        <w:tc>
          <w:tcPr>
            <w:tcW w:w="5265" w:type="dxa"/>
            <w:shd w:val="clear" w:color="auto" w:fill="FFFFFF"/>
            <w:vAlign w:val="center"/>
          </w:tcPr>
          <w:p>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评价要点：</w:t>
            </w:r>
          </w:p>
          <w:p>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①是否符合国家财经法规和财务管理制度以及有关专项资金管理办法的规定；</w:t>
            </w:r>
          </w:p>
          <w:p>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②资金的拨付是否有完整的审批程序和手续；</w:t>
            </w:r>
          </w:p>
          <w:p>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③是否符合项目预算批复或合同规定的用途；</w:t>
            </w:r>
          </w:p>
          <w:p>
            <w:pPr>
              <w:widowControl/>
              <w:spacing w:line="0" w:lineRule="atLeast"/>
              <w:rPr>
                <w:rFonts w:ascii="Times New Roman" w:hAnsi="Times New Roman"/>
                <w:color w:val="000000"/>
                <w:kern w:val="0"/>
                <w:sz w:val="22"/>
              </w:rPr>
            </w:pPr>
            <w:r>
              <w:rPr>
                <w:rFonts w:ascii="Times New Roman" w:hAnsi="Times New Roman"/>
                <w:color w:val="000000"/>
                <w:kern w:val="0"/>
                <w:sz w:val="22"/>
              </w:rPr>
              <w:t>④是否存在截留、挤占、挪用、虚列支出等情况。</w:t>
            </w:r>
          </w:p>
        </w:tc>
        <w:tc>
          <w:tcPr>
            <w:tcW w:w="1830" w:type="dxa"/>
            <w:shd w:val="clear" w:color="auto" w:fill="FFFFFF"/>
            <w:vAlign w:val="center"/>
          </w:tcPr>
          <w:p>
            <w:pPr>
              <w:widowControl/>
              <w:spacing w:line="0" w:lineRule="atLeast"/>
              <w:jc w:val="center"/>
              <w:rPr>
                <w:rFonts w:hint="default" w:ascii="Times New Roman" w:hAnsi="Times New Roman" w:eastAsia="宋体"/>
                <w:color w:val="000000"/>
                <w:kern w:val="0"/>
                <w:sz w:val="22"/>
                <w:lang w:val="en-US" w:eastAsia="zh-CN"/>
              </w:rPr>
            </w:pPr>
            <w:r>
              <w:rPr>
                <w:rFonts w:ascii="Times New Roman" w:hAnsi="Times New Roman"/>
                <w:color w:val="000000"/>
                <w:kern w:val="0"/>
                <w:sz w:val="22"/>
              </w:rPr>
              <w:t>符合国家财经法规</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w:t>
            </w:r>
            <w:r>
              <w:rPr>
                <w:rFonts w:ascii="Times New Roman" w:hAnsi="Times New Roman"/>
                <w:color w:val="000000"/>
                <w:kern w:val="0"/>
                <w:sz w:val="22"/>
              </w:rPr>
              <w:t>资金的拨付是否有完整的审批程序和手续</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r>
              <w:rPr>
                <w:rFonts w:ascii="Times New Roman" w:hAnsi="Times New Roman"/>
                <w:color w:val="000000"/>
                <w:kern w:val="0"/>
                <w:sz w:val="22"/>
              </w:rPr>
              <w:t>符合项目预算批复规定的用途</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1分缺一项扣1分</w:t>
            </w:r>
          </w:p>
        </w:tc>
        <w:tc>
          <w:tcPr>
            <w:tcW w:w="480" w:type="dxa"/>
            <w:shd w:val="clear" w:color="auto" w:fill="FFFFFF"/>
            <w:vAlign w:val="center"/>
          </w:tcPr>
          <w:p>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682" w:type="dxa"/>
            <w:vMerge w:val="continue"/>
            <w:shd w:val="clear" w:color="auto" w:fill="FFFFFF"/>
            <w:vAlign w:val="center"/>
          </w:tcPr>
          <w:p>
            <w:pPr>
              <w:spacing w:line="0" w:lineRule="atLeast"/>
              <w:jc w:val="center"/>
              <w:rPr>
                <w:rFonts w:ascii="Times New Roman" w:hAnsi="Times New Roman"/>
                <w:color w:val="000000"/>
                <w:kern w:val="0"/>
                <w:sz w:val="22"/>
              </w:rPr>
            </w:pPr>
          </w:p>
        </w:tc>
        <w:tc>
          <w:tcPr>
            <w:tcW w:w="709" w:type="dxa"/>
            <w:vMerge w:val="restart"/>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组织实施</w:t>
            </w:r>
          </w:p>
          <w:p>
            <w:pPr>
              <w:spacing w:line="0" w:lineRule="atLeast"/>
              <w:jc w:val="center"/>
              <w:rPr>
                <w:rFonts w:ascii="Times New Roman" w:hAnsi="Times New Roman"/>
                <w:color w:val="000000"/>
                <w:kern w:val="0"/>
                <w:sz w:val="22"/>
              </w:rPr>
            </w:pPr>
            <w:r>
              <w:rPr>
                <w:rFonts w:ascii="Times New Roman" w:hAnsi="Times New Roman"/>
                <w:color w:val="000000"/>
                <w:kern w:val="0"/>
                <w:sz w:val="22"/>
              </w:rPr>
              <w:t>　</w:t>
            </w:r>
          </w:p>
        </w:tc>
        <w:tc>
          <w:tcPr>
            <w:tcW w:w="1134" w:type="dxa"/>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管理制度</w:t>
            </w:r>
          </w:p>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健全性</w:t>
            </w:r>
          </w:p>
        </w:tc>
        <w:tc>
          <w:tcPr>
            <w:tcW w:w="567" w:type="dxa"/>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4</w:t>
            </w:r>
          </w:p>
        </w:tc>
        <w:tc>
          <w:tcPr>
            <w:tcW w:w="2579" w:type="dxa"/>
            <w:shd w:val="clear" w:color="auto" w:fill="FFFFFF"/>
            <w:vAlign w:val="center"/>
          </w:tcPr>
          <w:p>
            <w:pPr>
              <w:widowControl/>
              <w:spacing w:line="0" w:lineRule="atLeast"/>
              <w:rPr>
                <w:rFonts w:ascii="Times New Roman" w:hAnsi="Times New Roman"/>
                <w:color w:val="000000"/>
                <w:kern w:val="0"/>
                <w:sz w:val="22"/>
              </w:rPr>
            </w:pPr>
            <w:r>
              <w:rPr>
                <w:rFonts w:ascii="Times New Roman" w:hAnsi="Times New Roman"/>
                <w:color w:val="000000"/>
                <w:kern w:val="0"/>
                <w:sz w:val="22"/>
              </w:rPr>
              <w:t>项目实施单位的财务和业务管理制度是否健全，用以反映和考核财务和业务管理制度对项目顺利实施的保障情况。</w:t>
            </w:r>
          </w:p>
        </w:tc>
        <w:tc>
          <w:tcPr>
            <w:tcW w:w="5265" w:type="dxa"/>
            <w:shd w:val="clear" w:color="auto" w:fill="FFFFFF"/>
            <w:vAlign w:val="center"/>
          </w:tcPr>
          <w:p>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评价要点：</w:t>
            </w:r>
          </w:p>
          <w:p>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①是否已制定或具有相应的财务和业务管理制度；</w:t>
            </w:r>
          </w:p>
          <w:p>
            <w:pPr>
              <w:widowControl/>
              <w:spacing w:line="0" w:lineRule="atLeast"/>
              <w:rPr>
                <w:rFonts w:ascii="Times New Roman" w:hAnsi="Times New Roman"/>
                <w:color w:val="000000"/>
                <w:kern w:val="0"/>
                <w:sz w:val="22"/>
              </w:rPr>
            </w:pPr>
            <w:r>
              <w:rPr>
                <w:rFonts w:ascii="Times New Roman" w:hAnsi="Times New Roman"/>
                <w:color w:val="000000"/>
                <w:kern w:val="0"/>
                <w:sz w:val="22"/>
              </w:rPr>
              <w:t>②财务和业务管理制度是否合法、合规、完整。</w:t>
            </w:r>
          </w:p>
        </w:tc>
        <w:tc>
          <w:tcPr>
            <w:tcW w:w="1830" w:type="dxa"/>
            <w:shd w:val="clear" w:color="auto" w:fill="FFFFFF"/>
            <w:vAlign w:val="center"/>
          </w:tcPr>
          <w:p>
            <w:pPr>
              <w:widowControl/>
              <w:spacing w:line="0" w:lineRule="atLeast"/>
              <w:jc w:val="center"/>
              <w:rPr>
                <w:rFonts w:hint="eastAsia" w:ascii="Times New Roman" w:hAnsi="Times New Roman" w:eastAsia="宋体"/>
                <w:color w:val="000000"/>
                <w:kern w:val="0"/>
                <w:sz w:val="22"/>
                <w:lang w:val="en-US" w:eastAsia="zh-CN"/>
              </w:rPr>
            </w:pPr>
            <w:r>
              <w:rPr>
                <w:rFonts w:ascii="Times New Roman" w:hAnsi="Times New Roman"/>
                <w:color w:val="000000"/>
                <w:kern w:val="0"/>
                <w:sz w:val="22"/>
              </w:rPr>
              <w:t>制定或具有相应的财务和业务管理制度</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w:t>
            </w:r>
            <w:r>
              <w:rPr>
                <w:rFonts w:ascii="Times New Roman" w:hAnsi="Times New Roman"/>
                <w:color w:val="000000"/>
                <w:kern w:val="0"/>
                <w:sz w:val="22"/>
              </w:rPr>
              <w:t>；制度是否合法、合规、完整</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2分缺一项扣1分</w:t>
            </w:r>
          </w:p>
          <w:p>
            <w:pPr>
              <w:widowControl/>
              <w:spacing w:line="0" w:lineRule="atLeast"/>
              <w:jc w:val="center"/>
              <w:rPr>
                <w:rFonts w:hint="eastAsia" w:ascii="Times New Roman" w:hAnsi="Times New Roman" w:eastAsia="宋体"/>
                <w:color w:val="000000"/>
                <w:kern w:val="0"/>
                <w:sz w:val="22"/>
                <w:lang w:val="en-US" w:eastAsia="zh-CN"/>
              </w:rPr>
            </w:pPr>
          </w:p>
        </w:tc>
        <w:tc>
          <w:tcPr>
            <w:tcW w:w="480" w:type="dxa"/>
            <w:shd w:val="clear" w:color="auto" w:fill="FFFFFF"/>
            <w:vAlign w:val="center"/>
          </w:tcPr>
          <w:p>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682" w:type="dxa"/>
            <w:vMerge w:val="continue"/>
            <w:shd w:val="clear" w:color="auto" w:fill="FFFFFF"/>
            <w:vAlign w:val="center"/>
          </w:tcPr>
          <w:p>
            <w:pPr>
              <w:widowControl/>
              <w:spacing w:line="0" w:lineRule="atLeast"/>
              <w:jc w:val="center"/>
              <w:rPr>
                <w:rFonts w:ascii="Times New Roman" w:hAnsi="Times New Roman"/>
                <w:color w:val="000000"/>
                <w:kern w:val="0"/>
                <w:sz w:val="22"/>
              </w:rPr>
            </w:pPr>
          </w:p>
        </w:tc>
        <w:tc>
          <w:tcPr>
            <w:tcW w:w="709" w:type="dxa"/>
            <w:vMerge w:val="continue"/>
            <w:shd w:val="clear" w:color="auto" w:fill="FFFFFF"/>
            <w:vAlign w:val="center"/>
          </w:tcPr>
          <w:p>
            <w:pPr>
              <w:widowControl/>
              <w:spacing w:line="0" w:lineRule="atLeast"/>
              <w:jc w:val="center"/>
              <w:rPr>
                <w:rFonts w:ascii="Times New Roman" w:hAnsi="Times New Roman"/>
                <w:color w:val="000000"/>
                <w:kern w:val="0"/>
                <w:sz w:val="22"/>
              </w:rPr>
            </w:pPr>
          </w:p>
        </w:tc>
        <w:tc>
          <w:tcPr>
            <w:tcW w:w="1134" w:type="dxa"/>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制度执行</w:t>
            </w:r>
          </w:p>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有效性</w:t>
            </w:r>
          </w:p>
        </w:tc>
        <w:tc>
          <w:tcPr>
            <w:tcW w:w="567" w:type="dxa"/>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4</w:t>
            </w:r>
          </w:p>
        </w:tc>
        <w:tc>
          <w:tcPr>
            <w:tcW w:w="2579" w:type="dxa"/>
            <w:shd w:val="clear" w:color="auto" w:fill="FFFFFF"/>
            <w:vAlign w:val="center"/>
          </w:tcPr>
          <w:p>
            <w:pPr>
              <w:widowControl/>
              <w:spacing w:line="0" w:lineRule="atLeast"/>
              <w:rPr>
                <w:rFonts w:ascii="Times New Roman" w:hAnsi="Times New Roman"/>
                <w:color w:val="000000"/>
                <w:kern w:val="0"/>
                <w:sz w:val="22"/>
              </w:rPr>
            </w:pPr>
            <w:r>
              <w:rPr>
                <w:rFonts w:ascii="Times New Roman" w:hAnsi="Times New Roman"/>
                <w:color w:val="000000"/>
                <w:kern w:val="0"/>
                <w:sz w:val="22"/>
              </w:rPr>
              <w:t>项目实施是否符合相关管理规定，用以反映和考核相关管理制度的有效执行情况。</w:t>
            </w:r>
          </w:p>
        </w:tc>
        <w:tc>
          <w:tcPr>
            <w:tcW w:w="5265" w:type="dxa"/>
            <w:shd w:val="clear" w:color="auto" w:fill="FFFFFF"/>
            <w:vAlign w:val="center"/>
          </w:tcPr>
          <w:p>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评价要点：</w:t>
            </w:r>
          </w:p>
          <w:p>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①是否遵守相关法律法规和相关管理规定；</w:t>
            </w:r>
          </w:p>
          <w:p>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②项目调整及支出调整手续是否完备；</w:t>
            </w:r>
          </w:p>
          <w:p>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③项目合同书、验收报告、技术鉴定等资料是否齐全并及时归档；</w:t>
            </w:r>
          </w:p>
          <w:p>
            <w:pPr>
              <w:widowControl/>
              <w:spacing w:line="0" w:lineRule="atLeast"/>
              <w:rPr>
                <w:rFonts w:ascii="Times New Roman" w:hAnsi="Times New Roman"/>
                <w:color w:val="000000"/>
                <w:kern w:val="0"/>
                <w:sz w:val="22"/>
              </w:rPr>
            </w:pPr>
            <w:r>
              <w:rPr>
                <w:rFonts w:ascii="Times New Roman" w:hAnsi="Times New Roman"/>
                <w:color w:val="000000"/>
                <w:kern w:val="0"/>
                <w:sz w:val="22"/>
              </w:rPr>
              <w:t>④项目实施的人员条件、场地设备、信息支撑等是否落实到位。</w:t>
            </w:r>
          </w:p>
        </w:tc>
        <w:tc>
          <w:tcPr>
            <w:tcW w:w="1830" w:type="dxa"/>
            <w:shd w:val="clear" w:color="auto" w:fill="FFFFFF"/>
            <w:vAlign w:val="center"/>
          </w:tcPr>
          <w:p>
            <w:pPr>
              <w:widowControl/>
              <w:spacing w:line="0" w:lineRule="atLeast"/>
              <w:jc w:val="center"/>
              <w:rPr>
                <w:rFonts w:hint="default" w:ascii="Times New Roman" w:hAnsi="Times New Roman" w:eastAsia="宋体"/>
                <w:color w:val="000000"/>
                <w:kern w:val="0"/>
                <w:sz w:val="22"/>
                <w:lang w:val="en-US" w:eastAsia="zh-CN"/>
              </w:rPr>
            </w:pPr>
            <w:r>
              <w:rPr>
                <w:rFonts w:ascii="Times New Roman" w:hAnsi="Times New Roman"/>
                <w:color w:val="000000"/>
                <w:kern w:val="0"/>
                <w:sz w:val="22"/>
              </w:rPr>
              <w:t>遵守相关规定</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r>
              <w:rPr>
                <w:rFonts w:ascii="Times New Roman" w:hAnsi="Times New Roman"/>
                <w:color w:val="000000"/>
                <w:kern w:val="0"/>
                <w:sz w:val="22"/>
              </w:rPr>
              <w:t>项目调整手续完备</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r>
              <w:rPr>
                <w:rFonts w:ascii="Times New Roman" w:hAnsi="Times New Roman"/>
                <w:color w:val="000000"/>
                <w:kern w:val="0"/>
                <w:sz w:val="22"/>
              </w:rPr>
              <w:t>；</w:t>
            </w:r>
            <w:r>
              <w:rPr>
                <w:rFonts w:hint="eastAsia" w:ascii="Times New Roman" w:hAnsi="Times New Roman"/>
                <w:color w:val="000000"/>
                <w:kern w:val="0"/>
                <w:sz w:val="22"/>
                <w:lang w:eastAsia="zh-CN"/>
              </w:rPr>
              <w:t>资料及时归档得</w:t>
            </w:r>
            <w:r>
              <w:rPr>
                <w:rFonts w:hint="eastAsia" w:ascii="Times New Roman" w:hAnsi="Times New Roman"/>
                <w:color w:val="000000"/>
                <w:kern w:val="0"/>
                <w:sz w:val="22"/>
                <w:lang w:val="en-US" w:eastAsia="zh-CN"/>
              </w:rPr>
              <w:t>1分，项目实施落实到位得1分，缺一项扣1分</w:t>
            </w:r>
          </w:p>
        </w:tc>
        <w:tc>
          <w:tcPr>
            <w:tcW w:w="480" w:type="dxa"/>
            <w:shd w:val="clear" w:color="auto" w:fill="FFFFFF"/>
            <w:vAlign w:val="center"/>
          </w:tcPr>
          <w:p>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682" w:type="dxa"/>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产出</w:t>
            </w:r>
          </w:p>
        </w:tc>
        <w:tc>
          <w:tcPr>
            <w:tcW w:w="709" w:type="dxa"/>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产出数量</w:t>
            </w:r>
          </w:p>
        </w:tc>
        <w:tc>
          <w:tcPr>
            <w:tcW w:w="1134" w:type="dxa"/>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实际完成率</w:t>
            </w:r>
          </w:p>
        </w:tc>
        <w:tc>
          <w:tcPr>
            <w:tcW w:w="567" w:type="dxa"/>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8</w:t>
            </w:r>
          </w:p>
        </w:tc>
        <w:tc>
          <w:tcPr>
            <w:tcW w:w="2579" w:type="dxa"/>
            <w:shd w:val="clear" w:color="auto" w:fill="FFFFFF"/>
            <w:vAlign w:val="center"/>
          </w:tcPr>
          <w:p>
            <w:pPr>
              <w:widowControl/>
              <w:spacing w:line="0" w:lineRule="atLeast"/>
              <w:rPr>
                <w:rFonts w:ascii="Times New Roman" w:hAnsi="Times New Roman"/>
                <w:color w:val="000000"/>
                <w:kern w:val="0"/>
                <w:sz w:val="22"/>
              </w:rPr>
            </w:pPr>
            <w:r>
              <w:rPr>
                <w:rFonts w:ascii="Times New Roman" w:hAnsi="Times New Roman"/>
                <w:color w:val="000000"/>
                <w:kern w:val="0"/>
                <w:sz w:val="22"/>
              </w:rPr>
              <w:t>项目实施的实际产出数与计划产出数的比率，用以反映和考核项目产出数量目标的实现程度。</w:t>
            </w:r>
          </w:p>
        </w:tc>
        <w:tc>
          <w:tcPr>
            <w:tcW w:w="5265" w:type="dxa"/>
            <w:shd w:val="clear" w:color="auto" w:fill="FFFFFF"/>
            <w:vAlign w:val="center"/>
          </w:tcPr>
          <w:p>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实际完成率=（实际产出数/计划产出数）×100%。</w:t>
            </w:r>
          </w:p>
          <w:p>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实际产出数：一定时期（本年度或项目期）内项目实际产出的产品或提供的服务数量。</w:t>
            </w:r>
          </w:p>
          <w:p>
            <w:pPr>
              <w:widowControl/>
              <w:spacing w:line="0" w:lineRule="atLeast"/>
              <w:rPr>
                <w:rFonts w:ascii="Times New Roman" w:hAnsi="Times New Roman"/>
                <w:color w:val="000000"/>
                <w:kern w:val="0"/>
                <w:sz w:val="22"/>
              </w:rPr>
            </w:pPr>
            <w:r>
              <w:rPr>
                <w:rFonts w:ascii="Times New Roman" w:hAnsi="Times New Roman"/>
                <w:color w:val="000000"/>
                <w:kern w:val="0"/>
                <w:sz w:val="22"/>
              </w:rPr>
              <w:t>计划产出数：项目绩效目标确定的在一定时期（本年度或项目期）内计划产出的产品或提供的服务数量。</w:t>
            </w:r>
          </w:p>
        </w:tc>
        <w:tc>
          <w:tcPr>
            <w:tcW w:w="1830" w:type="dxa"/>
            <w:shd w:val="clear" w:color="auto" w:fill="FFFFFF"/>
            <w:vAlign w:val="center"/>
          </w:tcPr>
          <w:p>
            <w:pPr>
              <w:widowControl/>
              <w:spacing w:line="0" w:lineRule="atLeast"/>
              <w:jc w:val="center"/>
              <w:rPr>
                <w:rFonts w:hint="default" w:ascii="Times New Roman" w:hAnsi="Times New Roman" w:eastAsia="宋体"/>
                <w:color w:val="000000"/>
                <w:kern w:val="0"/>
                <w:sz w:val="22"/>
                <w:lang w:val="en-US" w:eastAsia="zh-CN"/>
              </w:rPr>
            </w:pPr>
            <w:r>
              <w:rPr>
                <w:rFonts w:ascii="Times New Roman" w:hAnsi="Times New Roman"/>
                <w:color w:val="000000"/>
                <w:kern w:val="0"/>
                <w:sz w:val="22"/>
              </w:rPr>
              <w:t>实际完成率</w:t>
            </w:r>
            <w:r>
              <w:rPr>
                <w:rFonts w:hint="eastAsia" w:ascii="Times New Roman" w:hAnsi="Times New Roman"/>
                <w:color w:val="000000"/>
                <w:kern w:val="0"/>
                <w:sz w:val="22"/>
                <w:lang w:val="en-US" w:eastAsia="zh-CN"/>
              </w:rPr>
              <w:t>100%得8分，每减少5%扣1分，扣完为止</w:t>
            </w:r>
          </w:p>
        </w:tc>
        <w:tc>
          <w:tcPr>
            <w:tcW w:w="480" w:type="dxa"/>
            <w:shd w:val="clear" w:color="auto" w:fill="FFFFFF"/>
            <w:vAlign w:val="center"/>
          </w:tcPr>
          <w:p>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682" w:type="dxa"/>
            <w:vMerge w:val="restart"/>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产出</w:t>
            </w:r>
          </w:p>
        </w:tc>
        <w:tc>
          <w:tcPr>
            <w:tcW w:w="709" w:type="dxa"/>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产出质量</w:t>
            </w:r>
          </w:p>
        </w:tc>
        <w:tc>
          <w:tcPr>
            <w:tcW w:w="1134" w:type="dxa"/>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质量达标率</w:t>
            </w:r>
          </w:p>
        </w:tc>
        <w:tc>
          <w:tcPr>
            <w:tcW w:w="567" w:type="dxa"/>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8</w:t>
            </w:r>
          </w:p>
        </w:tc>
        <w:tc>
          <w:tcPr>
            <w:tcW w:w="2579" w:type="dxa"/>
            <w:shd w:val="clear" w:color="auto" w:fill="FFFFFF"/>
            <w:vAlign w:val="center"/>
          </w:tcPr>
          <w:p>
            <w:pPr>
              <w:widowControl/>
              <w:spacing w:line="0" w:lineRule="atLeast"/>
              <w:rPr>
                <w:rFonts w:ascii="Times New Roman" w:hAnsi="Times New Roman"/>
                <w:color w:val="000000"/>
                <w:kern w:val="0"/>
                <w:sz w:val="22"/>
              </w:rPr>
            </w:pPr>
            <w:r>
              <w:rPr>
                <w:rFonts w:ascii="Times New Roman" w:hAnsi="Times New Roman"/>
                <w:color w:val="000000"/>
                <w:kern w:val="0"/>
                <w:sz w:val="22"/>
              </w:rPr>
              <w:t>项目完成的质量达标产出数与实际产出数的比率，用以反映和考核项目产出质量目标的实现程度。</w:t>
            </w:r>
          </w:p>
        </w:tc>
        <w:tc>
          <w:tcPr>
            <w:tcW w:w="5265" w:type="dxa"/>
            <w:shd w:val="clear" w:color="auto" w:fill="FFFFFF"/>
            <w:vAlign w:val="center"/>
          </w:tcPr>
          <w:p>
            <w:pPr>
              <w:widowControl/>
              <w:spacing w:line="0" w:lineRule="atLeast"/>
              <w:rPr>
                <w:rFonts w:ascii="Times New Roman" w:hAnsi="Times New Roman"/>
                <w:color w:val="000000"/>
                <w:kern w:val="0"/>
                <w:sz w:val="22"/>
              </w:rPr>
            </w:pPr>
            <w:r>
              <w:rPr>
                <w:rFonts w:ascii="Times New Roman" w:hAnsi="Times New Roman"/>
                <w:color w:val="000000"/>
                <w:kern w:val="0"/>
                <w:sz w:val="22"/>
              </w:rPr>
              <w:t>质量达标率=（质量达标产出数/实际产出数）×100%。</w:t>
            </w:r>
          </w:p>
          <w:p>
            <w:pPr>
              <w:widowControl/>
              <w:spacing w:line="0" w:lineRule="atLeast"/>
              <w:rPr>
                <w:rFonts w:ascii="Times New Roman" w:hAnsi="Times New Roman"/>
                <w:color w:val="000000"/>
                <w:kern w:val="0"/>
                <w:sz w:val="22"/>
              </w:rPr>
            </w:pPr>
            <w:r>
              <w:rPr>
                <w:rFonts w:ascii="Times New Roman" w:hAnsi="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830" w:type="dxa"/>
            <w:shd w:val="clear" w:color="auto" w:fill="FFFFFF"/>
            <w:vAlign w:val="center"/>
          </w:tcPr>
          <w:p>
            <w:pPr>
              <w:widowControl/>
              <w:spacing w:line="0" w:lineRule="atLeast"/>
              <w:jc w:val="center"/>
              <w:rPr>
                <w:rFonts w:hint="default" w:ascii="Times New Roman" w:hAnsi="Times New Roman" w:eastAsia="宋体"/>
                <w:color w:val="000000"/>
                <w:kern w:val="0"/>
                <w:sz w:val="22"/>
                <w:lang w:val="en-US" w:eastAsia="zh-CN"/>
              </w:rPr>
            </w:pPr>
            <w:r>
              <w:rPr>
                <w:rFonts w:hint="eastAsia" w:ascii="Times New Roman" w:hAnsi="Times New Roman"/>
                <w:color w:val="000000"/>
                <w:kern w:val="0"/>
                <w:sz w:val="22"/>
              </w:rPr>
              <w:t>完成100%计</w:t>
            </w:r>
            <w:r>
              <w:rPr>
                <w:rFonts w:hint="eastAsia" w:ascii="Times New Roman" w:hAnsi="Times New Roman"/>
                <w:color w:val="000000"/>
                <w:kern w:val="0"/>
                <w:sz w:val="22"/>
                <w:lang w:val="en-US" w:eastAsia="zh-CN"/>
              </w:rPr>
              <w:t>8</w:t>
            </w:r>
            <w:r>
              <w:rPr>
                <w:rFonts w:hint="eastAsia" w:ascii="Times New Roman" w:hAnsi="Times New Roman"/>
                <w:color w:val="000000"/>
                <w:kern w:val="0"/>
                <w:sz w:val="22"/>
              </w:rPr>
              <w:t>分，每下降1%扣0.5分，扣完为止</w:t>
            </w:r>
          </w:p>
        </w:tc>
        <w:tc>
          <w:tcPr>
            <w:tcW w:w="480" w:type="dxa"/>
            <w:shd w:val="clear" w:color="auto" w:fill="FFFFFF"/>
            <w:vAlign w:val="center"/>
          </w:tcPr>
          <w:p>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682" w:type="dxa"/>
            <w:vMerge w:val="continue"/>
            <w:shd w:val="clear" w:color="auto" w:fill="FFFFFF"/>
            <w:vAlign w:val="center"/>
          </w:tcPr>
          <w:p>
            <w:pPr>
              <w:spacing w:line="0" w:lineRule="atLeast"/>
              <w:jc w:val="center"/>
              <w:rPr>
                <w:rFonts w:ascii="Times New Roman" w:hAnsi="Times New Roman"/>
                <w:color w:val="000000"/>
                <w:kern w:val="0"/>
                <w:sz w:val="22"/>
              </w:rPr>
            </w:pPr>
          </w:p>
        </w:tc>
        <w:tc>
          <w:tcPr>
            <w:tcW w:w="709" w:type="dxa"/>
            <w:shd w:val="clear" w:color="auto" w:fill="FFFFFF"/>
            <w:vAlign w:val="center"/>
          </w:tcPr>
          <w:p>
            <w:pPr>
              <w:spacing w:line="0" w:lineRule="atLeast"/>
              <w:jc w:val="center"/>
              <w:rPr>
                <w:rFonts w:ascii="Times New Roman" w:hAnsi="Times New Roman"/>
                <w:color w:val="000000"/>
                <w:kern w:val="0"/>
                <w:sz w:val="22"/>
              </w:rPr>
            </w:pPr>
            <w:r>
              <w:rPr>
                <w:rFonts w:ascii="Times New Roman" w:hAnsi="Times New Roman"/>
                <w:color w:val="000000"/>
                <w:kern w:val="0"/>
                <w:sz w:val="22"/>
              </w:rPr>
              <w:t>产出时效</w:t>
            </w:r>
          </w:p>
        </w:tc>
        <w:tc>
          <w:tcPr>
            <w:tcW w:w="1134" w:type="dxa"/>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完成及时性</w:t>
            </w:r>
          </w:p>
        </w:tc>
        <w:tc>
          <w:tcPr>
            <w:tcW w:w="567" w:type="dxa"/>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8</w:t>
            </w:r>
          </w:p>
        </w:tc>
        <w:tc>
          <w:tcPr>
            <w:tcW w:w="2579" w:type="dxa"/>
            <w:shd w:val="clear" w:color="auto" w:fill="FFFFFF"/>
            <w:vAlign w:val="center"/>
          </w:tcPr>
          <w:p>
            <w:pPr>
              <w:widowControl/>
              <w:spacing w:line="0" w:lineRule="atLeast"/>
              <w:rPr>
                <w:rFonts w:ascii="Times New Roman" w:hAnsi="Times New Roman"/>
                <w:color w:val="000000"/>
                <w:kern w:val="0"/>
                <w:sz w:val="22"/>
              </w:rPr>
            </w:pPr>
            <w:r>
              <w:rPr>
                <w:rFonts w:ascii="Times New Roman" w:hAnsi="Times New Roman"/>
                <w:color w:val="000000"/>
                <w:kern w:val="0"/>
                <w:sz w:val="22"/>
              </w:rPr>
              <w:t>项目实际完成时间与计划完成时间的比较，用以反映和考核项目产出时效目标的实现程度。</w:t>
            </w:r>
          </w:p>
        </w:tc>
        <w:tc>
          <w:tcPr>
            <w:tcW w:w="5265" w:type="dxa"/>
            <w:shd w:val="clear" w:color="auto" w:fill="FFFFFF"/>
            <w:vAlign w:val="center"/>
          </w:tcPr>
          <w:p>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实际完成时间：项目实施单位完成该项目实际所耗用的时间。</w:t>
            </w:r>
          </w:p>
          <w:p>
            <w:pPr>
              <w:widowControl/>
              <w:spacing w:line="0" w:lineRule="atLeast"/>
              <w:rPr>
                <w:rFonts w:ascii="Times New Roman" w:hAnsi="Times New Roman"/>
                <w:color w:val="000000"/>
                <w:kern w:val="0"/>
                <w:sz w:val="22"/>
              </w:rPr>
            </w:pPr>
            <w:r>
              <w:rPr>
                <w:rFonts w:ascii="Times New Roman" w:hAnsi="Times New Roman"/>
                <w:color w:val="000000"/>
                <w:kern w:val="0"/>
                <w:sz w:val="22"/>
              </w:rPr>
              <w:t>计划完成时间：按照项目实施计划或相关规定完成该项目所需的时间。</w:t>
            </w:r>
          </w:p>
        </w:tc>
        <w:tc>
          <w:tcPr>
            <w:tcW w:w="1830" w:type="dxa"/>
            <w:shd w:val="clear" w:color="auto" w:fill="FFFFFF"/>
            <w:vAlign w:val="center"/>
          </w:tcPr>
          <w:p>
            <w:pPr>
              <w:widowControl/>
              <w:spacing w:line="0" w:lineRule="atLeast"/>
              <w:jc w:val="center"/>
              <w:rPr>
                <w:rFonts w:hint="eastAsia" w:ascii="Times New Roman" w:hAnsi="Times New Roman"/>
                <w:color w:val="000000"/>
                <w:kern w:val="0"/>
                <w:sz w:val="22"/>
              </w:rPr>
            </w:pPr>
            <w:r>
              <w:rPr>
                <w:rFonts w:hint="eastAsia" w:ascii="Times New Roman" w:hAnsi="Times New Roman"/>
                <w:color w:val="000000"/>
                <w:kern w:val="0"/>
                <w:sz w:val="22"/>
              </w:rPr>
              <w:t>按计划完成计</w:t>
            </w:r>
            <w:r>
              <w:rPr>
                <w:rFonts w:hint="eastAsia" w:ascii="Times New Roman" w:hAnsi="Times New Roman"/>
                <w:color w:val="000000"/>
                <w:kern w:val="0"/>
                <w:sz w:val="22"/>
                <w:lang w:val="en-US" w:eastAsia="zh-CN"/>
              </w:rPr>
              <w:t>8</w:t>
            </w:r>
            <w:r>
              <w:rPr>
                <w:rFonts w:hint="eastAsia" w:ascii="Times New Roman" w:hAnsi="Times New Roman"/>
                <w:color w:val="000000"/>
                <w:kern w:val="0"/>
                <w:sz w:val="22"/>
              </w:rPr>
              <w:t>分，否则酌情扣分</w:t>
            </w:r>
          </w:p>
        </w:tc>
        <w:tc>
          <w:tcPr>
            <w:tcW w:w="480" w:type="dxa"/>
            <w:shd w:val="clear" w:color="auto" w:fill="FFFFFF"/>
            <w:vAlign w:val="center"/>
          </w:tcPr>
          <w:p>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74" w:hRule="atLeast"/>
          <w:jc w:val="center"/>
        </w:trPr>
        <w:tc>
          <w:tcPr>
            <w:tcW w:w="682" w:type="dxa"/>
            <w:vMerge w:val="continue"/>
            <w:shd w:val="clear" w:color="auto" w:fill="FFFFFF"/>
            <w:vAlign w:val="center"/>
          </w:tcPr>
          <w:p>
            <w:pPr>
              <w:widowControl/>
              <w:spacing w:line="0" w:lineRule="atLeast"/>
              <w:jc w:val="center"/>
              <w:rPr>
                <w:rFonts w:ascii="Times New Roman" w:hAnsi="Times New Roman"/>
                <w:color w:val="000000"/>
                <w:kern w:val="0"/>
                <w:sz w:val="22"/>
              </w:rPr>
            </w:pPr>
          </w:p>
        </w:tc>
        <w:tc>
          <w:tcPr>
            <w:tcW w:w="709" w:type="dxa"/>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产出成本</w:t>
            </w:r>
          </w:p>
        </w:tc>
        <w:tc>
          <w:tcPr>
            <w:tcW w:w="1134" w:type="dxa"/>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成本节约率</w:t>
            </w:r>
          </w:p>
        </w:tc>
        <w:tc>
          <w:tcPr>
            <w:tcW w:w="567" w:type="dxa"/>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8</w:t>
            </w:r>
          </w:p>
        </w:tc>
        <w:tc>
          <w:tcPr>
            <w:tcW w:w="2579" w:type="dxa"/>
            <w:shd w:val="clear" w:color="auto" w:fill="FFFFFF"/>
            <w:vAlign w:val="center"/>
          </w:tcPr>
          <w:p>
            <w:pPr>
              <w:widowControl/>
              <w:spacing w:line="0" w:lineRule="atLeast"/>
              <w:rPr>
                <w:rFonts w:ascii="Times New Roman" w:hAnsi="Times New Roman"/>
                <w:color w:val="000000"/>
                <w:kern w:val="0"/>
                <w:sz w:val="22"/>
              </w:rPr>
            </w:pPr>
            <w:r>
              <w:rPr>
                <w:rFonts w:ascii="Times New Roman" w:hAnsi="Times New Roman"/>
                <w:color w:val="000000"/>
                <w:kern w:val="0"/>
                <w:sz w:val="22"/>
              </w:rPr>
              <w:t>完成项目计划工作目标的实际节约成本与计划成本的比率，用以反映和考核项目的成本节约程度。</w:t>
            </w:r>
          </w:p>
        </w:tc>
        <w:tc>
          <w:tcPr>
            <w:tcW w:w="5265" w:type="dxa"/>
            <w:shd w:val="clear" w:color="auto" w:fill="FFFFFF"/>
            <w:vAlign w:val="center"/>
          </w:tcPr>
          <w:p>
            <w:pPr>
              <w:widowControl/>
              <w:spacing w:line="0" w:lineRule="atLeast"/>
              <w:rPr>
                <w:rFonts w:hint="eastAsia" w:ascii="Times New Roman" w:hAnsi="Times New Roman" w:eastAsia="宋体"/>
                <w:color w:val="000000"/>
                <w:kern w:val="0"/>
                <w:sz w:val="22"/>
                <w:lang w:eastAsia="zh-CN"/>
              </w:rPr>
            </w:pPr>
          </w:p>
          <w:p>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成本节约率=[（计划成本-实际成本）/计划成本]×100%。</w:t>
            </w:r>
          </w:p>
          <w:p>
            <w:pPr>
              <w:widowControl/>
              <w:spacing w:line="0" w:lineRule="atLeast"/>
              <w:rPr>
                <w:rFonts w:hint="eastAsia" w:ascii="Times New Roman" w:hAnsi="Times New Roman" w:eastAsia="宋体"/>
                <w:color w:val="000000"/>
                <w:kern w:val="0"/>
                <w:sz w:val="22"/>
                <w:lang w:eastAsia="zh-CN"/>
              </w:rPr>
            </w:pPr>
            <w:r>
              <w:rPr>
                <w:rFonts w:ascii="Times New Roman" w:hAnsi="Times New Roman"/>
                <w:color w:val="000000"/>
                <w:kern w:val="0"/>
                <w:sz w:val="22"/>
              </w:rPr>
              <w:t>实际成本：项目实施单位如期、保质、保量完成既定工作目标实际所耗费的支出。</w:t>
            </w:r>
          </w:p>
          <w:p>
            <w:pPr>
              <w:widowControl/>
              <w:spacing w:line="0" w:lineRule="atLeast"/>
              <w:rPr>
                <w:rFonts w:ascii="Times New Roman" w:hAnsi="Times New Roman"/>
                <w:color w:val="000000"/>
                <w:kern w:val="0"/>
                <w:sz w:val="22"/>
              </w:rPr>
            </w:pPr>
            <w:r>
              <w:rPr>
                <w:rFonts w:ascii="Times New Roman" w:hAnsi="Times New Roman"/>
                <w:color w:val="000000"/>
                <w:kern w:val="0"/>
                <w:sz w:val="22"/>
              </w:rPr>
              <w:t>计划成本：项目实施单位为完成工作目标计划安排的支出，一般以项目预算为参考。</w:t>
            </w:r>
          </w:p>
        </w:tc>
        <w:tc>
          <w:tcPr>
            <w:tcW w:w="1830" w:type="dxa"/>
            <w:shd w:val="clear" w:color="auto" w:fill="FFFFFF"/>
            <w:vAlign w:val="center"/>
          </w:tcPr>
          <w:p>
            <w:pPr>
              <w:widowControl/>
              <w:spacing w:line="0" w:lineRule="atLeast"/>
              <w:jc w:val="center"/>
              <w:rPr>
                <w:rFonts w:hint="eastAsia" w:ascii="Times New Roman" w:hAnsi="Times New Roman"/>
                <w:color w:val="000000"/>
                <w:kern w:val="0"/>
                <w:sz w:val="22"/>
              </w:rPr>
            </w:pPr>
            <w:r>
              <w:rPr>
                <w:rFonts w:hint="eastAsia" w:ascii="Times New Roman" w:hAnsi="Times New Roman"/>
                <w:color w:val="000000"/>
                <w:kern w:val="0"/>
                <w:sz w:val="22"/>
              </w:rPr>
              <w:t>项目成本控制在总成本范围内，得</w:t>
            </w:r>
            <w:r>
              <w:rPr>
                <w:rFonts w:hint="eastAsia" w:ascii="Times New Roman" w:hAnsi="Times New Roman"/>
                <w:color w:val="000000"/>
                <w:kern w:val="0"/>
                <w:sz w:val="22"/>
                <w:lang w:val="en-US" w:eastAsia="zh-CN"/>
              </w:rPr>
              <w:t>8</w:t>
            </w:r>
            <w:r>
              <w:rPr>
                <w:rFonts w:hint="eastAsia" w:ascii="Times New Roman" w:hAnsi="Times New Roman"/>
                <w:color w:val="000000"/>
                <w:kern w:val="0"/>
                <w:sz w:val="22"/>
              </w:rPr>
              <w:t>分，每下降1%，扣0.5分，扣完为止。</w:t>
            </w:r>
          </w:p>
        </w:tc>
        <w:tc>
          <w:tcPr>
            <w:tcW w:w="480" w:type="dxa"/>
            <w:shd w:val="clear" w:color="auto" w:fill="FFFFFF"/>
            <w:vAlign w:val="center"/>
          </w:tcPr>
          <w:p>
            <w:pPr>
              <w:widowControl/>
              <w:spacing w:line="0" w:lineRule="atLeast"/>
              <w:jc w:val="center"/>
              <w:rPr>
                <w:rFonts w:hint="eastAsia" w:ascii="Times New Roman" w:hAnsi="Times New Roman" w:eastAsia="宋体"/>
                <w:color w:val="000000"/>
                <w:kern w:val="0"/>
                <w:sz w:val="22"/>
                <w:lang w:eastAsia="zh-CN"/>
              </w:rPr>
            </w:pPr>
            <w:r>
              <w:rPr>
                <w:rFonts w:hint="eastAsia" w:ascii="Times New Roman" w:hAnsi="Times New Roman"/>
                <w:color w:val="000000"/>
                <w:kern w:val="0"/>
                <w:sz w:val="22"/>
                <w:lang w:val="en-US" w:eastAsia="zh-CN"/>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3" w:hRule="atLeast"/>
          <w:jc w:val="center"/>
        </w:trPr>
        <w:tc>
          <w:tcPr>
            <w:tcW w:w="682" w:type="dxa"/>
            <w:vMerge w:val="restart"/>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效益　</w:t>
            </w:r>
          </w:p>
        </w:tc>
        <w:tc>
          <w:tcPr>
            <w:tcW w:w="709" w:type="dxa"/>
            <w:vMerge w:val="restart"/>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项目效益　</w:t>
            </w:r>
          </w:p>
        </w:tc>
        <w:tc>
          <w:tcPr>
            <w:tcW w:w="1134" w:type="dxa"/>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实施效益</w:t>
            </w:r>
          </w:p>
        </w:tc>
        <w:tc>
          <w:tcPr>
            <w:tcW w:w="567" w:type="dxa"/>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20</w:t>
            </w:r>
          </w:p>
        </w:tc>
        <w:tc>
          <w:tcPr>
            <w:tcW w:w="2579" w:type="dxa"/>
            <w:shd w:val="clear" w:color="auto" w:fill="FFFFFF"/>
            <w:vAlign w:val="center"/>
          </w:tcPr>
          <w:p>
            <w:pPr>
              <w:widowControl/>
              <w:spacing w:line="0" w:lineRule="atLeast"/>
              <w:jc w:val="left"/>
              <w:rPr>
                <w:rFonts w:ascii="Times New Roman" w:hAnsi="Times New Roman"/>
                <w:color w:val="000000"/>
                <w:kern w:val="0"/>
                <w:sz w:val="22"/>
              </w:rPr>
            </w:pPr>
            <w:r>
              <w:rPr>
                <w:rFonts w:ascii="Times New Roman" w:hAnsi="Times New Roman"/>
                <w:color w:val="000000"/>
                <w:kern w:val="0"/>
                <w:sz w:val="22"/>
              </w:rPr>
              <w:t>项目实施所产生的效益。</w:t>
            </w:r>
          </w:p>
        </w:tc>
        <w:tc>
          <w:tcPr>
            <w:tcW w:w="5265" w:type="dxa"/>
            <w:shd w:val="clear" w:color="auto" w:fill="FFFFFF"/>
            <w:vAlign w:val="center"/>
          </w:tcPr>
          <w:p>
            <w:pPr>
              <w:widowControl/>
              <w:spacing w:line="0" w:lineRule="atLeast"/>
              <w:rPr>
                <w:rFonts w:ascii="Times New Roman" w:hAnsi="Times New Roman"/>
                <w:color w:val="000000"/>
                <w:kern w:val="0"/>
                <w:sz w:val="22"/>
              </w:rPr>
            </w:pPr>
            <w:r>
              <w:rPr>
                <w:rFonts w:ascii="Times New Roman" w:hAnsi="Times New Roman"/>
                <w:color w:val="000000"/>
                <w:kern w:val="0"/>
                <w:sz w:val="22"/>
              </w:rPr>
              <w:t>项目实施所产生的社会效益、经济效益、生态效益、可持续影响等。可根据项目实际情况有选择地设置和细化。</w:t>
            </w:r>
          </w:p>
        </w:tc>
        <w:tc>
          <w:tcPr>
            <w:tcW w:w="1830" w:type="dxa"/>
            <w:shd w:val="clear" w:color="auto" w:fill="FFFFFF"/>
            <w:vAlign w:val="center"/>
          </w:tcPr>
          <w:p>
            <w:pPr>
              <w:widowControl/>
              <w:spacing w:line="0" w:lineRule="atLeast"/>
              <w:jc w:val="center"/>
              <w:rPr>
                <w:rFonts w:hint="eastAsia" w:ascii="Times New Roman" w:hAnsi="Times New Roman"/>
                <w:color w:val="000000"/>
                <w:kern w:val="0"/>
                <w:sz w:val="22"/>
              </w:rPr>
            </w:pPr>
            <w:r>
              <w:rPr>
                <w:rFonts w:hint="eastAsia" w:ascii="Times New Roman" w:hAnsi="Times New Roman"/>
                <w:color w:val="000000"/>
                <w:kern w:val="0"/>
                <w:sz w:val="22"/>
              </w:rPr>
              <w:t>效益评价优</w:t>
            </w:r>
            <w:r>
              <w:rPr>
                <w:rFonts w:hint="eastAsia" w:ascii="Times New Roman" w:hAnsi="Times New Roman"/>
                <w:color w:val="000000"/>
                <w:kern w:val="0"/>
                <w:sz w:val="22"/>
                <w:lang w:val="en-US" w:eastAsia="zh-CN"/>
              </w:rPr>
              <w:t>20</w:t>
            </w:r>
            <w:r>
              <w:rPr>
                <w:rFonts w:hint="eastAsia" w:ascii="Times New Roman" w:hAnsi="Times New Roman"/>
                <w:color w:val="000000"/>
                <w:kern w:val="0"/>
                <w:sz w:val="22"/>
              </w:rPr>
              <w:t>分、良好</w:t>
            </w:r>
            <w:r>
              <w:rPr>
                <w:rFonts w:hint="eastAsia" w:ascii="Times New Roman" w:hAnsi="Times New Roman"/>
                <w:color w:val="000000"/>
                <w:kern w:val="0"/>
                <w:sz w:val="22"/>
                <w:lang w:val="en-US" w:eastAsia="zh-CN"/>
              </w:rPr>
              <w:t>16</w:t>
            </w:r>
            <w:r>
              <w:rPr>
                <w:rFonts w:hint="eastAsia" w:ascii="Times New Roman" w:hAnsi="Times New Roman"/>
                <w:color w:val="000000"/>
                <w:kern w:val="0"/>
                <w:sz w:val="22"/>
              </w:rPr>
              <w:t>分、及格</w:t>
            </w:r>
            <w:r>
              <w:rPr>
                <w:rFonts w:hint="eastAsia" w:ascii="Times New Roman" w:hAnsi="Times New Roman"/>
                <w:color w:val="000000"/>
                <w:kern w:val="0"/>
                <w:sz w:val="22"/>
                <w:lang w:val="en-US" w:eastAsia="zh-CN"/>
              </w:rPr>
              <w:t>12</w:t>
            </w:r>
            <w:r>
              <w:rPr>
                <w:rFonts w:hint="eastAsia" w:ascii="Times New Roman" w:hAnsi="Times New Roman"/>
                <w:color w:val="000000"/>
                <w:kern w:val="0"/>
                <w:sz w:val="22"/>
              </w:rPr>
              <w:t>分、不及格0分</w:t>
            </w:r>
          </w:p>
        </w:tc>
        <w:tc>
          <w:tcPr>
            <w:tcW w:w="480" w:type="dxa"/>
            <w:shd w:val="clear" w:color="auto" w:fill="FFFFFF"/>
            <w:vAlign w:val="center"/>
          </w:tcPr>
          <w:p>
            <w:pPr>
              <w:widowControl/>
              <w:spacing w:line="0" w:lineRule="atLeast"/>
              <w:jc w:val="center"/>
              <w:rPr>
                <w:rFonts w:hint="default" w:ascii="Times New Roman" w:hAnsi="Times New Roman" w:eastAsia="宋体"/>
                <w:color w:val="000000"/>
                <w:kern w:val="0"/>
                <w:sz w:val="22"/>
                <w:lang w:val="en-US" w:eastAsia="zh-CN"/>
              </w:rPr>
            </w:pPr>
            <w:r>
              <w:rPr>
                <w:rFonts w:hint="eastAsia" w:ascii="Times New Roman" w:hAnsi="Times New Roman"/>
                <w:color w:val="000000"/>
                <w:kern w:val="0"/>
                <w:sz w:val="22"/>
                <w:lang w:val="en-US" w:eastAsia="zh-CN"/>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9" w:hRule="atLeast"/>
          <w:jc w:val="center"/>
        </w:trPr>
        <w:tc>
          <w:tcPr>
            <w:tcW w:w="682" w:type="dxa"/>
            <w:vMerge w:val="continue"/>
            <w:shd w:val="clear" w:color="auto" w:fill="FFFFFF"/>
            <w:vAlign w:val="center"/>
          </w:tcPr>
          <w:p>
            <w:pPr>
              <w:widowControl/>
              <w:spacing w:line="0" w:lineRule="atLeast"/>
              <w:jc w:val="center"/>
              <w:rPr>
                <w:rFonts w:ascii="Times New Roman" w:hAnsi="Times New Roman"/>
                <w:color w:val="000000"/>
                <w:kern w:val="0"/>
                <w:sz w:val="22"/>
              </w:rPr>
            </w:pPr>
          </w:p>
        </w:tc>
        <w:tc>
          <w:tcPr>
            <w:tcW w:w="709" w:type="dxa"/>
            <w:vMerge w:val="continue"/>
            <w:shd w:val="clear" w:color="auto" w:fill="FFFFFF"/>
            <w:vAlign w:val="center"/>
          </w:tcPr>
          <w:p>
            <w:pPr>
              <w:widowControl/>
              <w:spacing w:line="0" w:lineRule="atLeast"/>
              <w:jc w:val="center"/>
              <w:rPr>
                <w:rFonts w:ascii="Times New Roman" w:hAnsi="Times New Roman"/>
                <w:color w:val="000000"/>
                <w:kern w:val="0"/>
                <w:sz w:val="22"/>
              </w:rPr>
            </w:pPr>
          </w:p>
        </w:tc>
        <w:tc>
          <w:tcPr>
            <w:tcW w:w="1134" w:type="dxa"/>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满意度</w:t>
            </w:r>
          </w:p>
        </w:tc>
        <w:tc>
          <w:tcPr>
            <w:tcW w:w="567" w:type="dxa"/>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8</w:t>
            </w:r>
          </w:p>
        </w:tc>
        <w:tc>
          <w:tcPr>
            <w:tcW w:w="2579" w:type="dxa"/>
            <w:shd w:val="clear" w:color="auto" w:fill="FFFFFF"/>
            <w:vAlign w:val="center"/>
          </w:tcPr>
          <w:p>
            <w:pPr>
              <w:widowControl/>
              <w:spacing w:line="0" w:lineRule="atLeast"/>
              <w:rPr>
                <w:rFonts w:ascii="Times New Roman" w:hAnsi="Times New Roman"/>
                <w:color w:val="000000"/>
                <w:kern w:val="0"/>
                <w:sz w:val="22"/>
              </w:rPr>
            </w:pPr>
            <w:r>
              <w:rPr>
                <w:rFonts w:ascii="Times New Roman" w:hAnsi="Times New Roman"/>
                <w:color w:val="000000"/>
                <w:kern w:val="0"/>
                <w:sz w:val="22"/>
              </w:rPr>
              <w:t>社会公众或服务对象对项目实施效果的满意程度。</w:t>
            </w:r>
          </w:p>
        </w:tc>
        <w:tc>
          <w:tcPr>
            <w:tcW w:w="5265" w:type="dxa"/>
            <w:shd w:val="clear" w:color="auto" w:fill="FFFFFF"/>
            <w:vAlign w:val="center"/>
          </w:tcPr>
          <w:p>
            <w:pPr>
              <w:widowControl/>
              <w:spacing w:line="0" w:lineRule="atLeast"/>
              <w:rPr>
                <w:rFonts w:ascii="Times New Roman" w:hAnsi="Times New Roman"/>
                <w:color w:val="000000"/>
                <w:kern w:val="0"/>
                <w:sz w:val="22"/>
              </w:rPr>
            </w:pPr>
            <w:r>
              <w:rPr>
                <w:rFonts w:ascii="Times New Roman" w:hAnsi="Times New Roman"/>
                <w:color w:val="000000"/>
                <w:kern w:val="0"/>
                <w:sz w:val="22"/>
              </w:rPr>
              <w:t>社会公众或服务对象是指因该项目实施而受到影响的部门（单位）、群体或个人。一般采取社会调查的方式。</w:t>
            </w:r>
          </w:p>
        </w:tc>
        <w:tc>
          <w:tcPr>
            <w:tcW w:w="1830" w:type="dxa"/>
            <w:shd w:val="clear" w:color="auto" w:fill="FFFFFF"/>
            <w:vAlign w:val="center"/>
          </w:tcPr>
          <w:p>
            <w:pPr>
              <w:widowControl/>
              <w:spacing w:line="0" w:lineRule="atLeast"/>
              <w:jc w:val="center"/>
              <w:rPr>
                <w:rFonts w:hint="default" w:ascii="Times New Roman" w:hAnsi="Times New Roman" w:eastAsia="宋体"/>
                <w:color w:val="000000"/>
                <w:kern w:val="0"/>
                <w:sz w:val="22"/>
                <w:lang w:val="en-US" w:eastAsia="zh-CN"/>
              </w:rPr>
            </w:pPr>
            <w:r>
              <w:rPr>
                <w:rFonts w:hint="eastAsia" w:ascii="Times New Roman" w:hAnsi="Times New Roman"/>
                <w:color w:val="000000"/>
                <w:kern w:val="0"/>
                <w:sz w:val="22"/>
                <w:lang w:eastAsia="zh-CN"/>
              </w:rPr>
              <w:t>服务对象</w:t>
            </w:r>
            <w:r>
              <w:rPr>
                <w:rFonts w:ascii="Times New Roman" w:hAnsi="Times New Roman"/>
                <w:color w:val="000000"/>
                <w:kern w:val="0"/>
                <w:sz w:val="22"/>
              </w:rPr>
              <w:t>满意度</w:t>
            </w:r>
            <w:r>
              <w:rPr>
                <w:rFonts w:hint="eastAsia" w:ascii="Times New Roman" w:hAnsi="Times New Roman"/>
                <w:color w:val="000000"/>
                <w:kern w:val="0"/>
                <w:sz w:val="22"/>
                <w:lang w:val="en-US" w:eastAsia="zh-CN"/>
              </w:rPr>
              <w:t>100%得8分，每减少5%扣1分扣完为止</w:t>
            </w:r>
          </w:p>
        </w:tc>
        <w:tc>
          <w:tcPr>
            <w:tcW w:w="480" w:type="dxa"/>
            <w:shd w:val="clear" w:color="auto" w:fill="FFFFFF"/>
            <w:vAlign w:val="center"/>
          </w:tcPr>
          <w:p>
            <w:pPr>
              <w:widowControl/>
              <w:spacing w:line="0" w:lineRule="atLeast"/>
              <w:jc w:val="center"/>
              <w:rPr>
                <w:rFonts w:ascii="Times New Roman" w:hAnsi="Times New Roman"/>
                <w:color w:val="000000"/>
                <w:kern w:val="0"/>
                <w:sz w:val="22"/>
              </w:rPr>
            </w:pPr>
            <w:r>
              <w:rPr>
                <w:rFonts w:hint="eastAsia" w:ascii="Times New Roman" w:hAnsi="Times New Roman"/>
                <w:color w:val="000000"/>
                <w:kern w:val="0"/>
                <w:sz w:val="22"/>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8" w:hRule="atLeast"/>
          <w:jc w:val="center"/>
        </w:trPr>
        <w:tc>
          <w:tcPr>
            <w:tcW w:w="2525" w:type="dxa"/>
            <w:gridSpan w:val="3"/>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总分</w:t>
            </w:r>
          </w:p>
        </w:tc>
        <w:tc>
          <w:tcPr>
            <w:tcW w:w="567" w:type="dxa"/>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100</w:t>
            </w:r>
          </w:p>
        </w:tc>
        <w:tc>
          <w:tcPr>
            <w:tcW w:w="2579" w:type="dxa"/>
            <w:shd w:val="clear" w:color="auto" w:fill="FFFFFF"/>
            <w:vAlign w:val="center"/>
          </w:tcPr>
          <w:p>
            <w:pPr>
              <w:widowControl/>
              <w:spacing w:line="0" w:lineRule="atLeast"/>
              <w:rPr>
                <w:rFonts w:ascii="Times New Roman" w:hAnsi="Times New Roman"/>
                <w:color w:val="000000"/>
                <w:kern w:val="0"/>
                <w:sz w:val="22"/>
              </w:rPr>
            </w:pPr>
          </w:p>
        </w:tc>
        <w:tc>
          <w:tcPr>
            <w:tcW w:w="5265" w:type="dxa"/>
            <w:shd w:val="clear" w:color="auto" w:fill="FFFFFF"/>
            <w:vAlign w:val="center"/>
          </w:tcPr>
          <w:p>
            <w:pPr>
              <w:widowControl/>
              <w:spacing w:line="0" w:lineRule="atLeast"/>
              <w:rPr>
                <w:rFonts w:ascii="Times New Roman" w:hAnsi="Times New Roman"/>
                <w:color w:val="000000"/>
                <w:kern w:val="0"/>
                <w:sz w:val="22"/>
              </w:rPr>
            </w:pPr>
          </w:p>
        </w:tc>
        <w:tc>
          <w:tcPr>
            <w:tcW w:w="1830" w:type="dxa"/>
            <w:shd w:val="clear" w:color="auto" w:fill="FFFFFF"/>
            <w:vAlign w:val="center"/>
          </w:tcPr>
          <w:p>
            <w:pPr>
              <w:widowControl/>
              <w:spacing w:line="0" w:lineRule="atLeast"/>
              <w:jc w:val="center"/>
              <w:rPr>
                <w:rFonts w:hint="eastAsia" w:ascii="Times New Roman" w:hAnsi="Times New Roman"/>
                <w:color w:val="000000"/>
                <w:kern w:val="0"/>
                <w:sz w:val="22"/>
              </w:rPr>
            </w:pPr>
          </w:p>
        </w:tc>
        <w:tc>
          <w:tcPr>
            <w:tcW w:w="480" w:type="dxa"/>
            <w:shd w:val="clear" w:color="auto" w:fill="FFFFFF"/>
            <w:vAlign w:val="center"/>
          </w:tcPr>
          <w:p>
            <w:pPr>
              <w:widowControl/>
              <w:spacing w:line="0" w:lineRule="atLeast"/>
              <w:jc w:val="center"/>
              <w:rPr>
                <w:rFonts w:hint="eastAsia" w:ascii="Times New Roman" w:hAnsi="Times New Roman" w:eastAsia="宋体"/>
                <w:color w:val="000000"/>
                <w:kern w:val="0"/>
                <w:sz w:val="22"/>
                <w:lang w:eastAsia="zh-CN"/>
              </w:rPr>
            </w:pPr>
            <w:r>
              <w:rPr>
                <w:rFonts w:hint="eastAsia" w:ascii="Times New Roman" w:hAnsi="Times New Roman"/>
                <w:color w:val="000000"/>
                <w:kern w:val="0"/>
                <w:sz w:val="22"/>
              </w:rPr>
              <w:t>9</w:t>
            </w:r>
            <w:r>
              <w:rPr>
                <w:rFonts w:hint="eastAsia" w:ascii="Times New Roman" w:hAnsi="Times New Roman"/>
                <w:color w:val="000000"/>
                <w:kern w:val="0"/>
                <w:sz w:val="22"/>
                <w:lang w:val="en-US" w:eastAsia="zh-CN"/>
              </w:rPr>
              <w:t>4</w:t>
            </w:r>
          </w:p>
        </w:tc>
      </w:tr>
    </w:tbl>
    <w:p>
      <w:pPr>
        <w:spacing w:line="560" w:lineRule="exact"/>
        <w:ind w:firstLine="200" w:firstLineChars="100"/>
        <w:rPr>
          <w:rFonts w:hint="eastAsia"/>
        </w:rPr>
      </w:pPr>
      <w:r>
        <w:rPr>
          <w:rFonts w:ascii="Times New Roman" w:hAnsi="Times New Roman" w:eastAsia="仿宋_GB2312"/>
          <w:sz w:val="20"/>
          <w:szCs w:val="20"/>
        </w:rPr>
        <w:t>注：单位可以根据专项资金的管理要求和绩效要求增设个性指标。</w:t>
      </w:r>
    </w:p>
    <w:p>
      <w:pPr>
        <w:spacing w:line="20" w:lineRule="exact"/>
        <w:rPr>
          <w:rFonts w:hint="eastAsia"/>
        </w:rPr>
      </w:pPr>
    </w:p>
    <w:p>
      <w:pPr>
        <w:spacing w:line="20" w:lineRule="exact"/>
      </w:pPr>
    </w:p>
    <w:sectPr>
      <w:pgSz w:w="16838" w:h="11906" w:orient="landscape"/>
      <w:pgMar w:top="1134" w:right="1440" w:bottom="1134"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E6896E"/>
    <w:multiLevelType w:val="singleLevel"/>
    <w:tmpl w:val="B2E6896E"/>
    <w:lvl w:ilvl="0" w:tentative="0">
      <w:start w:val="7"/>
      <w:numFmt w:val="chineseCounting"/>
      <w:suff w:val="nothing"/>
      <w:lvlText w:val="%1、"/>
      <w:lvlJc w:val="left"/>
      <w:pPr>
        <w:ind w:left="800" w:leftChars="0" w:firstLine="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doNotDisplayPageBoundaries w:val="1"/>
  <w:embedSystemFonts/>
  <w:attachedTemplate r:id="rId1"/>
  <w:documentProtection w:enforcement="0"/>
  <w:defaultTabStop w:val="420"/>
  <w:drawingGridHorizontalSpacing w:val="105"/>
  <w:drawingGridVerticalSpacing w:val="204"/>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jY2NTYzMmRhMzQ1NTQ4ZDY5NGQ5ODM0NmFhODQxNjIifQ=="/>
  </w:docVars>
  <w:rsids>
    <w:rsidRoot w:val="68376C94"/>
    <w:rsid w:val="0005693D"/>
    <w:rsid w:val="00080367"/>
    <w:rsid w:val="00147FAD"/>
    <w:rsid w:val="001C3249"/>
    <w:rsid w:val="002353CD"/>
    <w:rsid w:val="00273AC2"/>
    <w:rsid w:val="00292793"/>
    <w:rsid w:val="002A1017"/>
    <w:rsid w:val="003369A3"/>
    <w:rsid w:val="003E0518"/>
    <w:rsid w:val="00457296"/>
    <w:rsid w:val="00472180"/>
    <w:rsid w:val="00483617"/>
    <w:rsid w:val="004D0560"/>
    <w:rsid w:val="00582D87"/>
    <w:rsid w:val="005858C4"/>
    <w:rsid w:val="005E18BD"/>
    <w:rsid w:val="00623984"/>
    <w:rsid w:val="006C4E2A"/>
    <w:rsid w:val="00725C59"/>
    <w:rsid w:val="00755C4B"/>
    <w:rsid w:val="007B69E7"/>
    <w:rsid w:val="007B7B9B"/>
    <w:rsid w:val="008348C9"/>
    <w:rsid w:val="008A5DDF"/>
    <w:rsid w:val="008B7F4D"/>
    <w:rsid w:val="009824F6"/>
    <w:rsid w:val="00997A19"/>
    <w:rsid w:val="009C4EA8"/>
    <w:rsid w:val="009D680D"/>
    <w:rsid w:val="00A0563A"/>
    <w:rsid w:val="00A53779"/>
    <w:rsid w:val="00AA38EE"/>
    <w:rsid w:val="00B04F06"/>
    <w:rsid w:val="00B07FE1"/>
    <w:rsid w:val="00B319BC"/>
    <w:rsid w:val="00BA06D5"/>
    <w:rsid w:val="00D54F8C"/>
    <w:rsid w:val="00DD2B84"/>
    <w:rsid w:val="00E01628"/>
    <w:rsid w:val="00E05DE1"/>
    <w:rsid w:val="00E3667E"/>
    <w:rsid w:val="00EA6C87"/>
    <w:rsid w:val="00F1572F"/>
    <w:rsid w:val="00FA19FF"/>
    <w:rsid w:val="00FF6700"/>
    <w:rsid w:val="022B5B12"/>
    <w:rsid w:val="03C03E92"/>
    <w:rsid w:val="03D601AA"/>
    <w:rsid w:val="063F4A78"/>
    <w:rsid w:val="06B31C7D"/>
    <w:rsid w:val="09A90060"/>
    <w:rsid w:val="0B6B5398"/>
    <w:rsid w:val="0CEA099D"/>
    <w:rsid w:val="0D2A24A6"/>
    <w:rsid w:val="0DC27801"/>
    <w:rsid w:val="0FFD3483"/>
    <w:rsid w:val="10100165"/>
    <w:rsid w:val="11631277"/>
    <w:rsid w:val="122874E2"/>
    <w:rsid w:val="14DD19E1"/>
    <w:rsid w:val="16BE48C1"/>
    <w:rsid w:val="174204CF"/>
    <w:rsid w:val="18B54E8F"/>
    <w:rsid w:val="1B215F80"/>
    <w:rsid w:val="1ECD74AF"/>
    <w:rsid w:val="1EE07E2D"/>
    <w:rsid w:val="200717C1"/>
    <w:rsid w:val="20CC76FC"/>
    <w:rsid w:val="20F9482C"/>
    <w:rsid w:val="2258382F"/>
    <w:rsid w:val="23C64EBD"/>
    <w:rsid w:val="25AE77A0"/>
    <w:rsid w:val="28812ADB"/>
    <w:rsid w:val="29B449E4"/>
    <w:rsid w:val="2DAE6C75"/>
    <w:rsid w:val="300C5A8F"/>
    <w:rsid w:val="313A4795"/>
    <w:rsid w:val="333E6B8A"/>
    <w:rsid w:val="33B23546"/>
    <w:rsid w:val="33C275C4"/>
    <w:rsid w:val="36593275"/>
    <w:rsid w:val="36FF06D7"/>
    <w:rsid w:val="37E628B7"/>
    <w:rsid w:val="3F7871E8"/>
    <w:rsid w:val="3FEB1EE9"/>
    <w:rsid w:val="400305FD"/>
    <w:rsid w:val="42F943E7"/>
    <w:rsid w:val="48290AC7"/>
    <w:rsid w:val="4847378F"/>
    <w:rsid w:val="49B048B9"/>
    <w:rsid w:val="4BE449C7"/>
    <w:rsid w:val="4F5E72A6"/>
    <w:rsid w:val="4F9E3BA3"/>
    <w:rsid w:val="508D3CCD"/>
    <w:rsid w:val="51455D0A"/>
    <w:rsid w:val="523024FB"/>
    <w:rsid w:val="52561476"/>
    <w:rsid w:val="54342D31"/>
    <w:rsid w:val="54611B6E"/>
    <w:rsid w:val="567A3A4B"/>
    <w:rsid w:val="5698466F"/>
    <w:rsid w:val="58196D36"/>
    <w:rsid w:val="5B2C5258"/>
    <w:rsid w:val="5D127680"/>
    <w:rsid w:val="60036DB6"/>
    <w:rsid w:val="61EE279A"/>
    <w:rsid w:val="62AC0856"/>
    <w:rsid w:val="62E0654E"/>
    <w:rsid w:val="637B751C"/>
    <w:rsid w:val="641B7D2E"/>
    <w:rsid w:val="6583316B"/>
    <w:rsid w:val="68376C94"/>
    <w:rsid w:val="6A3A7BCD"/>
    <w:rsid w:val="6AC4654D"/>
    <w:rsid w:val="6C03623D"/>
    <w:rsid w:val="6D535020"/>
    <w:rsid w:val="771A28FD"/>
    <w:rsid w:val="7D2444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5">
    <w:name w:val="heading 2"/>
    <w:basedOn w:val="1"/>
    <w:next w:val="1"/>
    <w:link w:val="24"/>
    <w:qFormat/>
    <w:uiPriority w:val="0"/>
    <w:pPr>
      <w:keepNext/>
      <w:keepLines/>
      <w:spacing w:before="260" w:after="260" w:line="413" w:lineRule="auto"/>
      <w:outlineLvl w:val="1"/>
    </w:pPr>
    <w:rPr>
      <w:rFonts w:ascii="Arial" w:hAnsi="Arial" w:eastAsia="黑体"/>
      <w:b/>
      <w:sz w:val="32"/>
      <w:szCs w:val="24"/>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unhideWhenUsed/>
    <w:qFormat/>
    <w:uiPriority w:val="99"/>
    <w:pPr>
      <w:ind w:firstLine="420" w:firstLineChars="200"/>
    </w:pPr>
  </w:style>
  <w:style w:type="paragraph" w:styleId="3">
    <w:name w:val="Body Text Indent"/>
    <w:basedOn w:val="1"/>
    <w:next w:val="4"/>
    <w:qFormat/>
    <w:uiPriority w:val="0"/>
    <w:pPr>
      <w:ind w:firstLine="636"/>
    </w:pPr>
    <w:rPr>
      <w:rFonts w:ascii="黑体" w:eastAsia="黑体"/>
      <w:sz w:val="32"/>
    </w:rPr>
  </w:style>
  <w:style w:type="paragraph" w:styleId="4">
    <w:name w:val="Normal Indent"/>
    <w:basedOn w:val="1"/>
    <w:qFormat/>
    <w:uiPriority w:val="0"/>
    <w:pPr>
      <w:ind w:firstLine="420" w:firstLineChars="200"/>
    </w:pPr>
    <w:rPr>
      <w:rFonts w:ascii="Calibri" w:hAnsi="Calibri" w:eastAsia="仿宋" w:cs="Times New Roman"/>
      <w:sz w:val="32"/>
    </w:rPr>
  </w:style>
  <w:style w:type="paragraph" w:styleId="6">
    <w:name w:val="footer"/>
    <w:basedOn w:val="1"/>
    <w:link w:val="22"/>
    <w:qFormat/>
    <w:uiPriority w:val="0"/>
    <w:pPr>
      <w:tabs>
        <w:tab w:val="center" w:pos="4153"/>
        <w:tab w:val="right" w:pos="8306"/>
      </w:tabs>
      <w:snapToGrid w:val="0"/>
      <w:jc w:val="left"/>
    </w:pPr>
    <w:rPr>
      <w:sz w:val="18"/>
      <w:szCs w:val="18"/>
    </w:rPr>
  </w:style>
  <w:style w:type="paragraph" w:styleId="7">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1">
    <w:name w:val="Strong"/>
    <w:basedOn w:val="10"/>
    <w:qFormat/>
    <w:uiPriority w:val="22"/>
    <w:rPr>
      <w:b/>
      <w:bCs/>
    </w:rPr>
  </w:style>
  <w:style w:type="character" w:styleId="12">
    <w:name w:val="FollowedHyperlink"/>
    <w:basedOn w:val="10"/>
    <w:qFormat/>
    <w:uiPriority w:val="0"/>
    <w:rPr>
      <w:color w:val="333333"/>
      <w:u w:val="none"/>
    </w:rPr>
  </w:style>
  <w:style w:type="character" w:styleId="13">
    <w:name w:val="Emphasis"/>
    <w:basedOn w:val="10"/>
    <w:qFormat/>
    <w:uiPriority w:val="0"/>
    <w:rPr>
      <w:sz w:val="24"/>
      <w:szCs w:val="24"/>
    </w:rPr>
  </w:style>
  <w:style w:type="character" w:styleId="14">
    <w:name w:val="HTML Definition"/>
    <w:basedOn w:val="10"/>
    <w:qFormat/>
    <w:uiPriority w:val="0"/>
  </w:style>
  <w:style w:type="character" w:styleId="15">
    <w:name w:val="HTML Acronym"/>
    <w:basedOn w:val="10"/>
    <w:qFormat/>
    <w:uiPriority w:val="0"/>
  </w:style>
  <w:style w:type="character" w:styleId="16">
    <w:name w:val="HTML Variable"/>
    <w:basedOn w:val="10"/>
    <w:qFormat/>
    <w:uiPriority w:val="0"/>
  </w:style>
  <w:style w:type="character" w:styleId="17">
    <w:name w:val="Hyperlink"/>
    <w:basedOn w:val="10"/>
    <w:qFormat/>
    <w:uiPriority w:val="0"/>
    <w:rPr>
      <w:color w:val="333333"/>
      <w:u w:val="none"/>
    </w:rPr>
  </w:style>
  <w:style w:type="character" w:styleId="18">
    <w:name w:val="HTML Code"/>
    <w:basedOn w:val="10"/>
    <w:qFormat/>
    <w:uiPriority w:val="0"/>
    <w:rPr>
      <w:rFonts w:ascii="Courier New" w:hAnsi="Courier New"/>
      <w:sz w:val="20"/>
    </w:rPr>
  </w:style>
  <w:style w:type="character" w:styleId="19">
    <w:name w:val="HTML Cite"/>
    <w:basedOn w:val="10"/>
    <w:qFormat/>
    <w:uiPriority w:val="0"/>
  </w:style>
  <w:style w:type="paragraph" w:customStyle="1" w:styleId="20">
    <w:name w:val="p15"/>
    <w:basedOn w:val="1"/>
    <w:qFormat/>
    <w:uiPriority w:val="0"/>
    <w:pPr>
      <w:widowControl/>
      <w:jc w:val="left"/>
    </w:pPr>
    <w:rPr>
      <w:rFonts w:ascii="宋体" w:hAnsi="宋体" w:cs="宋体"/>
      <w:kern w:val="0"/>
      <w:sz w:val="24"/>
    </w:rPr>
  </w:style>
  <w:style w:type="character" w:customStyle="1" w:styleId="21">
    <w:name w:val="页眉 Char"/>
    <w:basedOn w:val="10"/>
    <w:link w:val="7"/>
    <w:qFormat/>
    <w:uiPriority w:val="0"/>
    <w:rPr>
      <w:kern w:val="2"/>
      <w:sz w:val="18"/>
      <w:szCs w:val="18"/>
    </w:rPr>
  </w:style>
  <w:style w:type="character" w:customStyle="1" w:styleId="22">
    <w:name w:val="页脚 Char"/>
    <w:basedOn w:val="10"/>
    <w:link w:val="6"/>
    <w:qFormat/>
    <w:uiPriority w:val="0"/>
    <w:rPr>
      <w:kern w:val="2"/>
      <w:sz w:val="18"/>
      <w:szCs w:val="18"/>
    </w:rPr>
  </w:style>
  <w:style w:type="paragraph" w:styleId="23">
    <w:name w:val="No Spacing"/>
    <w:qFormat/>
    <w:uiPriority w:val="0"/>
    <w:pPr>
      <w:widowControl w:val="0"/>
      <w:jc w:val="both"/>
    </w:pPr>
    <w:rPr>
      <w:rFonts w:ascii="Calibri" w:hAnsi="Calibri" w:eastAsia="宋体" w:cs="Times New Roman"/>
      <w:kern w:val="2"/>
      <w:sz w:val="21"/>
      <w:szCs w:val="22"/>
      <w:lang w:val="en-US" w:eastAsia="zh-CN" w:bidi="ar-SA"/>
    </w:rPr>
  </w:style>
  <w:style w:type="character" w:customStyle="1" w:styleId="24">
    <w:name w:val="标题 2 Char"/>
    <w:basedOn w:val="10"/>
    <w:link w:val="5"/>
    <w:qFormat/>
    <w:uiPriority w:val="0"/>
    <w:rPr>
      <w:rFonts w:ascii="Arial" w:hAnsi="Arial" w:eastAsia="黑体"/>
      <w:b/>
      <w:kern w:val="2"/>
      <w:sz w:val="32"/>
      <w:szCs w:val="24"/>
    </w:rPr>
  </w:style>
  <w:style w:type="character" w:customStyle="1" w:styleId="25">
    <w:name w:val="before1"/>
    <w:basedOn w:val="10"/>
    <w:qFormat/>
    <w:uiPriority w:val="0"/>
    <w:rPr>
      <w:bdr w:val="single" w:color="0466C7" w:sz="36" w:space="0"/>
    </w:rPr>
  </w:style>
  <w:style w:type="character" w:customStyle="1" w:styleId="26">
    <w:name w:val="bsharetext"/>
    <w:basedOn w:val="10"/>
    <w:qFormat/>
    <w:uiPriority w:val="0"/>
  </w:style>
  <w:style w:type="character" w:customStyle="1" w:styleId="27">
    <w:name w:val="slidebook_bg"/>
    <w:basedOn w:val="10"/>
    <w:qFormat/>
    <w:uiPriority w:val="0"/>
    <w:rPr>
      <w:bdr w:val="single" w:color="666666" w:sz="6" w:space="0"/>
      <w:shd w:val="clear" w:color="auto" w:fill="FFFFFF"/>
    </w:rPr>
  </w:style>
  <w:style w:type="character" w:customStyle="1" w:styleId="28">
    <w:name w:val="last-child"/>
    <w:basedOn w:val="10"/>
    <w:qFormat/>
    <w:uiPriority w:val="0"/>
  </w:style>
  <w:style w:type="character" w:customStyle="1" w:styleId="29">
    <w:name w:val="wx-space"/>
    <w:basedOn w:val="10"/>
    <w:qFormat/>
    <w:uiPriority w:val="0"/>
  </w:style>
  <w:style w:type="character" w:customStyle="1" w:styleId="30">
    <w:name w:val="wx-space1"/>
    <w:basedOn w:val="10"/>
    <w:qFormat/>
    <w:uiPriority w:val="0"/>
  </w:style>
  <w:style w:type="character" w:customStyle="1" w:styleId="31">
    <w:name w:val="hover10"/>
    <w:basedOn w:val="10"/>
    <w:qFormat/>
    <w:uiPriority w:val="0"/>
    <w:rPr>
      <w:color w:val="000000"/>
      <w:shd w:val="clear" w:color="auto" w:fill="FFFFFF"/>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816867D-1C2F-49A2-99D3-07D477B14F39}">
  <ds:schemaRefs/>
</ds:datastoreItem>
</file>

<file path=docProps/app.xml><?xml version="1.0" encoding="utf-8"?>
<Properties xmlns="http://schemas.openxmlformats.org/officeDocument/2006/extended-properties" xmlns:vt="http://schemas.openxmlformats.org/officeDocument/2006/docPropsVTypes">
  <Template>0</Template>
  <Pages>10</Pages>
  <Words>5733</Words>
  <Characters>5957</Characters>
  <Lines>37</Lines>
  <Paragraphs>10</Paragraphs>
  <TotalTime>34</TotalTime>
  <ScaleCrop>false</ScaleCrop>
  <LinksUpToDate>false</LinksUpToDate>
  <CharactersWithSpaces>6009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2020-06-05T02:37:00Z</dcterms:created>
  <dc:creator>坐车压马路</dc:creator>
  <cp:lastModifiedBy>忘忧草</cp:lastModifiedBy>
  <dcterms:modified xsi:type="dcterms:W3CDTF">2023-07-24T01:31:51Z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224F1A79376E4EC38A5E846EA5FF35D4</vt:lpwstr>
  </property>
</Properties>
</file>